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F50" w:val="clear"/>
        <w:tabs>
          <w:tab w:val="right" w:pos="10466"/>
        </w:tabs>
        <w:spacing w:after="120" w:before="0"/>
      </w:pPr>
      <w:r>
        <w:rPr>
          <w:rFonts w:ascii="Arial" w:cs="Arial" w:eastAsia="Arial" w:hAnsi="Arial"/>
          <w:b w:val="false"/>
          <w:bCs w:val="false"/>
          <w:color w:val="A0BADE"/>
          <w:sz w:val="17"/>
          <w:szCs w:val="17"/>
        </w:rPr>
        <w:t xml:space="preserve">Version 2.0  |  April 2026  |  Prepared by Jera Consulting (Pty) Ltd</w:t>
      </w:r>
      <w:r>
        <w:rPr>
          <w:rFonts w:ascii="Arial" w:cs="Arial" w:eastAsia="Arial" w:hAnsi="Arial"/>
          <w:b/>
          <w:bCs/>
          <w:color w:val="1B6FFF"/>
          <w:sz w:val="17"/>
          <w:szCs w:val="17"/>
        </w:rPr>
        <w:t xml:space="preserve">	JERA-POL-HR009</w:t>
      </w:r>
    </w:p>
    <w:p>
      <w:pPr>
        <w:pStyle w:val="Heading1"/>
      </w:pPr>
      <w:r>
        <w:t xml:space="preserve">Private Work After Hours Policy</w:t>
      </w:r>
    </w:p>
    <w:p>
      <w:pPr>
        <w:spacing w:after="200" w:before="0"/>
        <w:jc w:val="center"/>
      </w:pPr>
      <w:r>
        <w:rPr>
          <w:rFonts w:ascii="Arial" w:cs="Arial" w:eastAsia="Arial" w:hAnsi="Arial"/>
          <w:color w:val="5A6A7A"/>
          <w:sz w:val="22"/>
          <w:szCs w:val="22"/>
        </w:rPr>
        <w:t xml:space="preserve">Jera Consulting (Pty) Ltd</w:t>
      </w:r>
    </w:p>
    <w:p>
      <w:pPr>
        <w:spacing w:after="20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2617"/>
        <w:gridCol w:w="2616"/>
      </w:tblGrid>
      <w:tr>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Approval</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2617"/>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Job Title / Role</w:t>
            </w:r>
          </w:p>
        </w:tc>
        <w:tc>
          <w:tcPr>
            <w:tcW w:type="dxa" w:w="2616"/>
            <w:tcBorders>
              <w:top w:val="single" w:color="DDE1EA" w:sz="4"/>
              <w:left w:val="single" w:color="DDE1EA" w:sz="4"/>
              <w:bottom w:val="single" w:color="DDE1EA" w:sz="4"/>
              <w:right w:val="single" w:color="DDE1EA" w:sz="4"/>
            </w:tcBorders>
            <w:shd w:fill="1A2F50" w:val="clear"/>
            <w:tcMar>
              <w:top w:type="dxa" w:w="80"/>
              <w:left w:type="dxa" w:w="120"/>
              <w:bottom w:type="dxa" w:w="80"/>
              <w:right w:type="dxa" w:w="120"/>
            </w:tcMar>
          </w:tcPr>
          <w:p>
            <w:r>
              <w:rPr>
                <w:rFonts w:ascii="Arial" w:cs="Arial" w:eastAsia="Arial" w:hAnsi="Arial"/>
                <w:b/>
                <w:bCs/>
                <w:color w:val="FFFFFF"/>
                <w:sz w:val="18"/>
                <w:szCs w:val="18"/>
              </w:rPr>
              <w:t xml:space="preserve">Signature &amp; 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5A6A7A"/>
                <w:sz w:val="18"/>
                <w:szCs w:val="18"/>
              </w:rPr>
              <w:t xml:space="preserve">Document Owner</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Operations</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5A6A7A"/>
                <w:sz w:val="18"/>
                <w:szCs w:val="18"/>
              </w:rPr>
              <w:t xml:space="preserve">Approved by</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Management</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Managing Director</w:t>
            </w:r>
          </w:p>
        </w:tc>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b w:val="false"/>
                <w:bCs w:val="false"/>
                <w:color w:val="3A4A5A"/>
                <w:sz w:val="18"/>
                <w:szCs w:val="18"/>
              </w:rPr>
              <w:t xml:space="preserve"/>
            </w:r>
          </w:p>
        </w:tc>
      </w:tr>
    </w:tbl>
    <w:p>
      <w:pPr>
        <w:spacing w:after="0" w:before="200"/>
      </w:pPr>
    </w:p>
    <w:p>
      <w:pPr>
        <w:pStyle w:val="Heading2"/>
      </w:pPr>
      <w:r>
        <w:t xml:space="preserve">1. Objective</w:t>
      </w:r>
    </w:p>
    <w:p>
      <w:pPr>
        <w:spacing w:after="60" w:before="60"/>
      </w:pPr>
      <w:r>
        <w:rPr>
          <w:rFonts w:ascii="Arial" w:cs="Arial" w:eastAsia="Arial" w:hAnsi="Arial"/>
          <w:b w:val="false"/>
          <w:bCs w:val="false"/>
          <w:color w:val="3A4A5A"/>
          <w:sz w:val="22"/>
          <w:szCs w:val="22"/>
        </w:rPr>
        <w:t xml:space="preserve">To establish clear guidelines regarding private work, consulting, and freelancing activities undertaken by employees outside of working hours, while protecting the company's interests, intellectual property, client confidentiality, and ensuring compliance with restraint of trade and non-compete considerations.</w:t>
      </w:r>
    </w:p>
    <w:p>
      <w:pPr>
        <w:pStyle w:val="Heading2"/>
      </w:pPr>
      <w:r>
        <w:t xml:space="preserve">2. Scope</w:t>
      </w:r>
    </w:p>
    <w:p>
      <w:pPr>
        <w:spacing w:after="60" w:before="60"/>
      </w:pPr>
      <w:r>
        <w:rPr>
          <w:rFonts w:ascii="Arial" w:cs="Arial" w:eastAsia="Arial" w:hAnsi="Arial"/>
          <w:b w:val="false"/>
          <w:bCs w:val="false"/>
          <w:color w:val="3A4A5A"/>
          <w:sz w:val="22"/>
          <w:szCs w:val="22"/>
        </w:rPr>
        <w:t xml:space="preserve">This policy applies to all employees of Jera Consulting (Pty) Ltd. It covers private work, consulting, freelancing, online businesses, content creation, and any form of self-employment or income-generating activities undertaken outside normal working hours.</w:t>
      </w:r>
    </w:p>
    <w:p>
      <w:pPr>
        <w:pStyle w:val="Heading2"/>
      </w:pPr>
      <w:r>
        <w:t xml:space="preserve">3. Policy</w:t>
      </w:r>
    </w:p>
    <w:p>
      <w:pPr>
        <w:pStyle w:val="Heading3"/>
      </w:pPr>
      <w:r>
        <w:t xml:space="preserve">3.1 Services and Work Within Office Hours</w:t>
      </w:r>
    </w:p>
    <w:p>
      <w:pPr>
        <w:pStyle w:val="ListParagraph"/>
        <w:numPr>
          <w:ilvl w:val="0"/>
          <w:numId w:val="2"/>
        </w:numPr>
      </w:pPr>
      <w:r>
        <w:rPr>
          <w:rFonts w:ascii="Arial" w:cs="Arial" w:eastAsia="Arial" w:hAnsi="Arial"/>
          <w:color w:val="3A4A5A"/>
          <w:sz w:val="22"/>
          <w:szCs w:val="22"/>
        </w:rPr>
        <w:t xml:space="preserve">No private work, consulting, freelancing, or income-generating activities are permitted during company office hours or working time.</w:t>
      </w:r>
    </w:p>
    <w:p>
      <w:pPr>
        <w:pStyle w:val="ListParagraph"/>
        <w:numPr>
          <w:ilvl w:val="0"/>
          <w:numId w:val="2"/>
        </w:numPr>
      </w:pPr>
      <w:r>
        <w:rPr>
          <w:rFonts w:ascii="Arial" w:cs="Arial" w:eastAsia="Arial" w:hAnsi="Arial"/>
          <w:color w:val="3A4A5A"/>
          <w:sz w:val="22"/>
          <w:szCs w:val="22"/>
        </w:rPr>
        <w:t xml:space="preserve">Employees must devote their full attention and effort to company business during contracted working hours.</w:t>
      </w:r>
    </w:p>
    <w:p>
      <w:pPr>
        <w:pStyle w:val="ListParagraph"/>
        <w:numPr>
          <w:ilvl w:val="0"/>
          <w:numId w:val="2"/>
        </w:numPr>
      </w:pPr>
      <w:r>
        <w:rPr>
          <w:rFonts w:ascii="Arial" w:cs="Arial" w:eastAsia="Arial" w:hAnsi="Arial"/>
          <w:color w:val="3A4A5A"/>
          <w:sz w:val="22"/>
          <w:szCs w:val="22"/>
        </w:rPr>
        <w:t xml:space="preserve">Time spent on personal projects, freelancing platforms, client calls, or content creation during work hours is a breach of this policy and may result in disciplinary action.</w:t>
      </w:r>
    </w:p>
    <w:p>
      <w:pPr>
        <w:pStyle w:val="ListParagraph"/>
        <w:numPr>
          <w:ilvl w:val="0"/>
          <w:numId w:val="2"/>
        </w:numPr>
      </w:pPr>
      <w:r>
        <w:rPr>
          <w:rFonts w:ascii="Arial" w:cs="Arial" w:eastAsia="Arial" w:hAnsi="Arial"/>
          <w:color w:val="3A4A5A"/>
          <w:sz w:val="22"/>
          <w:szCs w:val="22"/>
        </w:rPr>
        <w:t xml:space="preserve">Exceptions: personal administrative tasks (e.g., doctor's appointment) within reasonable personal time (breaks, lunch period).</w:t>
      </w:r>
    </w:p>
    <w:p>
      <w:pPr>
        <w:pStyle w:val="Heading3"/>
      </w:pPr>
      <w:r>
        <w:t xml:space="preserve">3.2 Services and Work Outside Office Hours</w:t>
      </w:r>
    </w:p>
    <w:p>
      <w:pPr>
        <w:spacing w:after="60" w:before="60"/>
      </w:pPr>
      <w:r>
        <w:rPr>
          <w:rFonts w:ascii="Arial" w:cs="Arial" w:eastAsia="Arial" w:hAnsi="Arial"/>
          <w:b w:val="false"/>
          <w:bCs w:val="false"/>
          <w:color w:val="3A4A5A"/>
          <w:sz w:val="22"/>
          <w:szCs w:val="22"/>
        </w:rPr>
        <w:t xml:space="preserve">Private work undertaken outside contracted working hours (evenings, weekends, leave periods) is permitted, subject to the following conditions:</w:t>
      </w:r>
    </w:p>
    <w:p>
      <w:pPr>
        <w:pStyle w:val="ListParagraph"/>
        <w:numPr>
          <w:ilvl w:val="0"/>
          <w:numId w:val="2"/>
        </w:numPr>
      </w:pPr>
      <w:r>
        <w:rPr>
          <w:rFonts w:ascii="Arial" w:cs="Arial" w:eastAsia="Arial" w:hAnsi="Arial"/>
          <w:color w:val="3A4A5A"/>
          <w:sz w:val="22"/>
          <w:szCs w:val="22"/>
        </w:rPr>
        <w:t xml:space="preserve">The activity does not interfere with the employee's ability to perform company duties effectively.</w:t>
      </w:r>
    </w:p>
    <w:p>
      <w:pPr>
        <w:pStyle w:val="ListParagraph"/>
        <w:numPr>
          <w:ilvl w:val="0"/>
          <w:numId w:val="2"/>
        </w:numPr>
      </w:pPr>
      <w:r>
        <w:rPr>
          <w:rFonts w:ascii="Arial" w:cs="Arial" w:eastAsia="Arial" w:hAnsi="Arial"/>
          <w:color w:val="3A4A5A"/>
          <w:sz w:val="22"/>
          <w:szCs w:val="22"/>
        </w:rPr>
        <w:t xml:space="preserve">The activity does not create a conflict of interest with the company or its clients.</w:t>
      </w:r>
    </w:p>
    <w:p>
      <w:pPr>
        <w:pStyle w:val="ListParagraph"/>
        <w:numPr>
          <w:ilvl w:val="0"/>
          <w:numId w:val="2"/>
        </w:numPr>
      </w:pPr>
      <w:r>
        <w:rPr>
          <w:rFonts w:ascii="Arial" w:cs="Arial" w:eastAsia="Arial" w:hAnsi="Arial"/>
          <w:color w:val="3A4A5A"/>
          <w:sz w:val="22"/>
          <w:szCs w:val="22"/>
        </w:rPr>
        <w:t xml:space="preserve">The activity does not compete directly with company business (see Non-Compete clause below).</w:t>
      </w:r>
    </w:p>
    <w:p>
      <w:pPr>
        <w:pStyle w:val="ListParagraph"/>
        <w:numPr>
          <w:ilvl w:val="0"/>
          <w:numId w:val="2"/>
        </w:numPr>
      </w:pPr>
      <w:r>
        <w:rPr>
          <w:rFonts w:ascii="Arial" w:cs="Arial" w:eastAsia="Arial" w:hAnsi="Arial"/>
          <w:color w:val="3A4A5A"/>
          <w:sz w:val="22"/>
          <w:szCs w:val="22"/>
        </w:rPr>
        <w:t xml:space="preserve">The activity does not breach any restraint of trade clause in the employment contract.</w:t>
      </w:r>
    </w:p>
    <w:p>
      <w:pPr>
        <w:pStyle w:val="ListParagraph"/>
        <w:numPr>
          <w:ilvl w:val="0"/>
          <w:numId w:val="2"/>
        </w:numPr>
      </w:pPr>
      <w:r>
        <w:rPr>
          <w:rFonts w:ascii="Arial" w:cs="Arial" w:eastAsia="Arial" w:hAnsi="Arial"/>
          <w:color w:val="3A4A5A"/>
          <w:sz w:val="22"/>
          <w:szCs w:val="22"/>
        </w:rPr>
        <w:t xml:space="preserve">The activity does not use company resources (see below).</w:t>
      </w:r>
    </w:p>
    <w:p>
      <w:pPr>
        <w:pStyle w:val="ListParagraph"/>
        <w:numPr>
          <w:ilvl w:val="0"/>
          <w:numId w:val="2"/>
        </w:numPr>
      </w:pPr>
      <w:r>
        <w:rPr>
          <w:rFonts w:ascii="Arial" w:cs="Arial" w:eastAsia="Arial" w:hAnsi="Arial"/>
          <w:color w:val="3A4A5A"/>
          <w:sz w:val="22"/>
          <w:szCs w:val="22"/>
        </w:rPr>
        <w:t xml:space="preserve">The activity does not breach POPIA or confidentiality regarding company/client data.</w:t>
      </w:r>
    </w:p>
    <w:p>
      <w:pPr>
        <w:pStyle w:val="Heading3"/>
      </w:pPr>
      <w:r>
        <w:t xml:space="preserve">3.3 Examples of Permitted Private Work</w:t>
      </w:r>
    </w:p>
    <w:p>
      <w:pPr>
        <w:spacing w:after="60" w:before="60"/>
      </w:pPr>
      <w:r>
        <w:rPr>
          <w:rFonts w:ascii="Arial" w:cs="Arial" w:eastAsia="Arial" w:hAnsi="Arial"/>
          <w:b w:val="false"/>
          <w:bCs w:val="false"/>
          <w:color w:val="3A4A5A"/>
          <w:sz w:val="22"/>
          <w:szCs w:val="22"/>
        </w:rPr>
        <w:t xml:space="preserve">Employees may undertake the following types of private work outside office hours (subject to above conditions):</w:t>
      </w:r>
    </w:p>
    <w:p>
      <w:pPr>
        <w:pStyle w:val="ListParagraph"/>
        <w:numPr>
          <w:ilvl w:val="0"/>
          <w:numId w:val="2"/>
        </w:numPr>
      </w:pPr>
      <w:r>
        <w:rPr>
          <w:rFonts w:ascii="Arial" w:cs="Arial" w:eastAsia="Arial" w:hAnsi="Arial"/>
          <w:color w:val="3A4A5A"/>
          <w:sz w:val="22"/>
          <w:szCs w:val="22"/>
        </w:rPr>
        <w:t xml:space="preserve">Freelance writing, editing, or journalism (unrelated to company's client list).</w:t>
      </w:r>
    </w:p>
    <w:p>
      <w:pPr>
        <w:pStyle w:val="ListParagraph"/>
        <w:numPr>
          <w:ilvl w:val="0"/>
          <w:numId w:val="2"/>
        </w:numPr>
      </w:pPr>
      <w:r>
        <w:rPr>
          <w:rFonts w:ascii="Arial" w:cs="Arial" w:eastAsia="Arial" w:hAnsi="Arial"/>
          <w:color w:val="3A4A5A"/>
          <w:sz w:val="22"/>
          <w:szCs w:val="22"/>
        </w:rPr>
        <w:t xml:space="preserve">Web/app development or software coding for external clients or personal projects.</w:t>
      </w:r>
    </w:p>
    <w:p>
      <w:pPr>
        <w:pStyle w:val="ListParagraph"/>
        <w:numPr>
          <w:ilvl w:val="0"/>
          <w:numId w:val="2"/>
        </w:numPr>
      </w:pPr>
      <w:r>
        <w:rPr>
          <w:rFonts w:ascii="Arial" w:cs="Arial" w:eastAsia="Arial" w:hAnsi="Arial"/>
          <w:color w:val="3A4A5A"/>
          <w:sz w:val="22"/>
          <w:szCs w:val="22"/>
        </w:rPr>
        <w:t xml:space="preserve">Social media management or content creation (YouTube channel, podcast, blog) provided it does not promote competing services.</w:t>
      </w:r>
    </w:p>
    <w:p>
      <w:pPr>
        <w:pStyle w:val="ListParagraph"/>
        <w:numPr>
          <w:ilvl w:val="0"/>
          <w:numId w:val="2"/>
        </w:numPr>
      </w:pPr>
      <w:r>
        <w:rPr>
          <w:rFonts w:ascii="Arial" w:cs="Arial" w:eastAsia="Arial" w:hAnsi="Arial"/>
          <w:color w:val="3A4A5A"/>
          <w:sz w:val="22"/>
          <w:szCs w:val="22"/>
        </w:rPr>
        <w:t xml:space="preserve">Consulting or advisory work in non-competing fields.</w:t>
      </w:r>
    </w:p>
    <w:p>
      <w:pPr>
        <w:pStyle w:val="ListParagraph"/>
        <w:numPr>
          <w:ilvl w:val="0"/>
          <w:numId w:val="2"/>
        </w:numPr>
      </w:pPr>
      <w:r>
        <w:rPr>
          <w:rFonts w:ascii="Arial" w:cs="Arial" w:eastAsia="Arial" w:hAnsi="Arial"/>
          <w:color w:val="3A4A5A"/>
          <w:sz w:val="22"/>
          <w:szCs w:val="22"/>
        </w:rPr>
        <w:t xml:space="preserve">Online teaching, training, or course creation.</w:t>
      </w:r>
    </w:p>
    <w:p>
      <w:pPr>
        <w:pStyle w:val="ListParagraph"/>
        <w:numPr>
          <w:ilvl w:val="0"/>
          <w:numId w:val="2"/>
        </w:numPr>
      </w:pPr>
      <w:r>
        <w:rPr>
          <w:rFonts w:ascii="Arial" w:cs="Arial" w:eastAsia="Arial" w:hAnsi="Arial"/>
          <w:color w:val="3A4A5A"/>
          <w:sz w:val="22"/>
          <w:szCs w:val="22"/>
        </w:rPr>
        <w:t xml:space="preserve">Online sales or e-commerce (Etsy, Amazon, online store) for unrelated products.</w:t>
      </w:r>
    </w:p>
    <w:p>
      <w:pPr>
        <w:pStyle w:val="ListParagraph"/>
        <w:numPr>
          <w:ilvl w:val="0"/>
          <w:numId w:val="2"/>
        </w:numPr>
      </w:pPr>
      <w:r>
        <w:rPr>
          <w:rFonts w:ascii="Arial" w:cs="Arial" w:eastAsia="Arial" w:hAnsi="Arial"/>
          <w:color w:val="3A4A5A"/>
          <w:sz w:val="22"/>
          <w:szCs w:val="22"/>
        </w:rPr>
        <w:t xml:space="preserve">Freelance platforms (Upwork, Fiverr, Freelancer) for services not in competition with company.</w:t>
      </w:r>
    </w:p>
    <w:p>
      <w:pPr>
        <w:pStyle w:val="ListParagraph"/>
        <w:numPr>
          <w:ilvl w:val="0"/>
          <w:numId w:val="2"/>
        </w:numPr>
      </w:pPr>
      <w:r>
        <w:rPr>
          <w:rFonts w:ascii="Arial" w:cs="Arial" w:eastAsia="Arial" w:hAnsi="Arial"/>
          <w:color w:val="3A4A5A"/>
          <w:sz w:val="22"/>
          <w:szCs w:val="22"/>
        </w:rPr>
        <w:t xml:space="preserve">Part-time or casual employment with unrelated employers.</w:t>
      </w:r>
    </w:p>
    <w:p>
      <w:pPr>
        <w:pStyle w:val="Heading3"/>
      </w:pPr>
      <w:r>
        <w:t xml:space="preserve">3.4 Prohibited Private Work Activities</w:t>
      </w:r>
    </w:p>
    <w:p>
      <w:pPr>
        <w:pStyle w:val="ListParagraph"/>
        <w:numPr>
          <w:ilvl w:val="0"/>
          <w:numId w:val="2"/>
        </w:numPr>
      </w:pPr>
      <w:r>
        <w:rPr>
          <w:rFonts w:ascii="Arial" w:cs="Arial" w:eastAsia="Arial" w:hAnsi="Arial"/>
          <w:color w:val="3A4A5A"/>
          <w:sz w:val="22"/>
          <w:szCs w:val="22"/>
        </w:rPr>
        <w:t xml:space="preserve">Any work that directly competes with Jera Consulting's services or offerings.</w:t>
      </w:r>
    </w:p>
    <w:p>
      <w:pPr>
        <w:pStyle w:val="ListParagraph"/>
        <w:numPr>
          <w:ilvl w:val="0"/>
          <w:numId w:val="2"/>
        </w:numPr>
      </w:pPr>
      <w:r>
        <w:rPr>
          <w:rFonts w:ascii="Arial" w:cs="Arial" w:eastAsia="Arial" w:hAnsi="Arial"/>
          <w:color w:val="3A4A5A"/>
          <w:sz w:val="22"/>
          <w:szCs w:val="22"/>
        </w:rPr>
        <w:t xml:space="preserve">Consulting or services provided to Jera Consulting's current clients without company knowledge and approval.</w:t>
      </w:r>
    </w:p>
    <w:p>
      <w:pPr>
        <w:pStyle w:val="ListParagraph"/>
        <w:numPr>
          <w:ilvl w:val="0"/>
          <w:numId w:val="2"/>
        </w:numPr>
      </w:pPr>
      <w:r>
        <w:rPr>
          <w:rFonts w:ascii="Arial" w:cs="Arial" w:eastAsia="Arial" w:hAnsi="Arial"/>
          <w:color w:val="3A4A5A"/>
          <w:sz w:val="22"/>
          <w:szCs w:val="22"/>
        </w:rPr>
        <w:t xml:space="preserve">Work that breaches restraint of trade or non-compete clauses in the employment contract.</w:t>
      </w:r>
    </w:p>
    <w:p>
      <w:pPr>
        <w:pStyle w:val="ListParagraph"/>
        <w:numPr>
          <w:ilvl w:val="0"/>
          <w:numId w:val="2"/>
        </w:numPr>
      </w:pPr>
      <w:r>
        <w:rPr>
          <w:rFonts w:ascii="Arial" w:cs="Arial" w:eastAsia="Arial" w:hAnsi="Arial"/>
          <w:color w:val="3A4A5A"/>
          <w:sz w:val="22"/>
          <w:szCs w:val="22"/>
        </w:rPr>
        <w:t xml:space="preserve">Activities using proprietary company information, client lists, or trade secrets.</w:t>
      </w:r>
    </w:p>
    <w:p>
      <w:pPr>
        <w:pStyle w:val="ListParagraph"/>
        <w:numPr>
          <w:ilvl w:val="0"/>
          <w:numId w:val="2"/>
        </w:numPr>
      </w:pPr>
      <w:r>
        <w:rPr>
          <w:rFonts w:ascii="Arial" w:cs="Arial" w:eastAsia="Arial" w:hAnsi="Arial"/>
          <w:color w:val="3A4A5A"/>
          <w:sz w:val="22"/>
          <w:szCs w:val="22"/>
        </w:rPr>
        <w:t xml:space="preserve">Work that materially interferes with the employee's performance, availability, or health.</w:t>
      </w:r>
    </w:p>
    <w:p>
      <w:pPr>
        <w:pStyle w:val="ListParagraph"/>
        <w:numPr>
          <w:ilvl w:val="0"/>
          <w:numId w:val="2"/>
        </w:numPr>
      </w:pPr>
      <w:r>
        <w:rPr>
          <w:rFonts w:ascii="Arial" w:cs="Arial" w:eastAsia="Arial" w:hAnsi="Arial"/>
          <w:color w:val="3A4A5A"/>
          <w:sz w:val="22"/>
          <w:szCs w:val="22"/>
        </w:rPr>
        <w:t xml:space="preserve">Freelancing or contract work with direct competitors of Jera Consulting.</w:t>
      </w:r>
    </w:p>
    <w:p>
      <w:pPr>
        <w:pStyle w:val="Heading3"/>
      </w:pPr>
      <w:r>
        <w:t xml:space="preserve">3.5 Company Resources</w:t>
      </w:r>
    </w:p>
    <w:p>
      <w:pPr>
        <w:pStyle w:val="ListParagraph"/>
        <w:numPr>
          <w:ilvl w:val="0"/>
          <w:numId w:val="2"/>
        </w:numPr>
      </w:pPr>
      <w:r>
        <w:rPr>
          <w:rFonts w:ascii="Arial" w:cs="Arial" w:eastAsia="Arial" w:hAnsi="Arial"/>
          <w:color w:val="3A4A5A"/>
          <w:sz w:val="22"/>
          <w:szCs w:val="22"/>
        </w:rPr>
        <w:t xml:space="preserve">Company equipment (laptop, smartphone, software, internet connection) must not be used for private work.</w:t>
      </w:r>
    </w:p>
    <w:p>
      <w:pPr>
        <w:pStyle w:val="ListParagraph"/>
        <w:numPr>
          <w:ilvl w:val="0"/>
          <w:numId w:val="2"/>
        </w:numPr>
      </w:pPr>
      <w:r>
        <w:rPr>
          <w:rFonts w:ascii="Arial" w:cs="Arial" w:eastAsia="Arial" w:hAnsi="Arial"/>
          <w:color w:val="3A4A5A"/>
          <w:sz w:val="22"/>
          <w:szCs w:val="22"/>
        </w:rPr>
        <w:t xml:space="preserve">Company office space, meeting rooms, or facilities may not be used for private work activities.</w:t>
      </w:r>
    </w:p>
    <w:p>
      <w:pPr>
        <w:pStyle w:val="ListParagraph"/>
        <w:numPr>
          <w:ilvl w:val="0"/>
          <w:numId w:val="2"/>
        </w:numPr>
      </w:pPr>
      <w:r>
        <w:rPr>
          <w:rFonts w:ascii="Arial" w:cs="Arial" w:eastAsia="Arial" w:hAnsi="Arial"/>
          <w:color w:val="3A4A5A"/>
          <w:sz w:val="22"/>
          <w:szCs w:val="22"/>
        </w:rPr>
        <w:t xml:space="preserve">Company intellectual property, designs, code, or proprietary tools may not be used for private work.</w:t>
      </w:r>
    </w:p>
    <w:p>
      <w:pPr>
        <w:pStyle w:val="ListParagraph"/>
        <w:numPr>
          <w:ilvl w:val="0"/>
          <w:numId w:val="2"/>
        </w:numPr>
      </w:pPr>
      <w:r>
        <w:rPr>
          <w:rFonts w:ascii="Arial" w:cs="Arial" w:eastAsia="Arial" w:hAnsi="Arial"/>
          <w:color w:val="3A4A5A"/>
          <w:sz w:val="22"/>
          <w:szCs w:val="22"/>
        </w:rPr>
        <w:t xml:space="preserve">Company client databases, contact lists, or confidential information may not be used for private work.</w:t>
      </w:r>
    </w:p>
    <w:p>
      <w:pPr>
        <w:pStyle w:val="ListParagraph"/>
        <w:numPr>
          <w:ilvl w:val="0"/>
          <w:numId w:val="2"/>
        </w:numPr>
      </w:pPr>
      <w:r>
        <w:rPr>
          <w:rFonts w:ascii="Arial" w:cs="Arial" w:eastAsia="Arial" w:hAnsi="Arial"/>
          <w:color w:val="3A4A5A"/>
          <w:sz w:val="22"/>
          <w:szCs w:val="22"/>
        </w:rPr>
        <w:t xml:space="preserve">Violation of this clause may result in disciplinary action and potential legal claims.</w:t>
      </w:r>
    </w:p>
    <w:p>
      <w:pPr>
        <w:pStyle w:val="Heading3"/>
      </w:pPr>
      <w:r>
        <w:t xml:space="preserve">3.6 Intellectual Property (IP) and Work Product</w:t>
      </w:r>
    </w:p>
    <w:p>
      <w:pPr>
        <w:spacing w:after="60" w:before="60"/>
      </w:pPr>
      <w:r>
        <w:rPr>
          <w:rFonts w:ascii="Arial" w:cs="Arial" w:eastAsia="Arial" w:hAnsi="Arial"/>
          <w:b w:val="false"/>
          <w:bCs w:val="false"/>
          <w:color w:val="3A4A5A"/>
          <w:sz w:val="22"/>
          <w:szCs w:val="22"/>
        </w:rPr>
        <w:t xml:space="preserve">Ownership of intellectual property depends on how and where the work was created:</w:t>
      </w:r>
    </w:p>
    <w:p>
      <w:pPr>
        <w:pStyle w:val="ListParagraph"/>
        <w:numPr>
          <w:ilvl w:val="0"/>
          <w:numId w:val="2"/>
        </w:numPr>
      </w:pPr>
      <w:r>
        <w:rPr>
          <w:rFonts w:ascii="Arial" w:cs="Arial" w:eastAsia="Arial" w:hAnsi="Arial"/>
          <w:color w:val="3A4A5A"/>
          <w:sz w:val="22"/>
          <w:szCs w:val="22"/>
        </w:rPr>
        <w:t xml:space="preserve">Work created using company resources, equipment, or time belongs to the company, even if undertaken ostensibly as private work.</w:t>
      </w:r>
    </w:p>
    <w:p>
      <w:pPr>
        <w:pStyle w:val="ListParagraph"/>
        <w:numPr>
          <w:ilvl w:val="0"/>
          <w:numId w:val="2"/>
        </w:numPr>
      </w:pPr>
      <w:r>
        <w:rPr>
          <w:rFonts w:ascii="Arial" w:cs="Arial" w:eastAsia="Arial" w:hAnsi="Arial"/>
          <w:color w:val="3A4A5A"/>
          <w:sz w:val="22"/>
          <w:szCs w:val="22"/>
        </w:rPr>
        <w:t xml:space="preserve">Work created entirely outside office hours using personal equipment may belong to the employee, but only if unrelated to company business.</w:t>
      </w:r>
    </w:p>
    <w:p>
      <w:pPr>
        <w:pStyle w:val="ListParagraph"/>
        <w:numPr>
          <w:ilvl w:val="0"/>
          <w:numId w:val="2"/>
        </w:numPr>
      </w:pPr>
      <w:r>
        <w:rPr>
          <w:rFonts w:ascii="Arial" w:cs="Arial" w:eastAsia="Arial" w:hAnsi="Arial"/>
          <w:color w:val="3A4A5A"/>
          <w:sz w:val="22"/>
          <w:szCs w:val="22"/>
        </w:rPr>
        <w:t xml:space="preserve">If private work incorporates company IP, client information, or proprietary knowledge, ownership disputes may arise and will be resolved based on legal principles and the employment contract.</w:t>
      </w:r>
    </w:p>
    <w:p>
      <w:pPr>
        <w:pStyle w:val="ListParagraph"/>
        <w:numPr>
          <w:ilvl w:val="0"/>
          <w:numId w:val="2"/>
        </w:numPr>
      </w:pPr>
      <w:r>
        <w:rPr>
          <w:rFonts w:ascii="Arial" w:cs="Arial" w:eastAsia="Arial" w:hAnsi="Arial"/>
          <w:color w:val="3A4A5A"/>
          <w:sz w:val="22"/>
          <w:szCs w:val="22"/>
        </w:rPr>
        <w:t xml:space="preserve">Employees must declare any work product that could potentially involve company IP or client information to HR before proceeding.</w:t>
      </w:r>
    </w:p>
    <w:p>
      <w:pPr>
        <w:pStyle w:val="ListParagraph"/>
        <w:numPr>
          <w:ilvl w:val="0"/>
          <w:numId w:val="2"/>
        </w:numPr>
      </w:pPr>
      <w:r>
        <w:rPr>
          <w:rFonts w:ascii="Arial" w:cs="Arial" w:eastAsia="Arial" w:hAnsi="Arial"/>
          <w:color w:val="3A4A5A"/>
          <w:sz w:val="22"/>
          <w:szCs w:val="22"/>
        </w:rPr>
        <w:t xml:space="preserve">The company reserves the right to claim ownership or license rights to any work created using company resources.</w:t>
      </w:r>
    </w:p>
    <w:p>
      <w:pPr>
        <w:pStyle w:val="Heading3"/>
      </w:pPr>
      <w:r>
        <w:t xml:space="preserve">3.7 Non-Compete and Restraint of Trade</w:t>
      </w:r>
    </w:p>
    <w:p>
      <w:pPr>
        <w:pStyle w:val="ListParagraph"/>
        <w:numPr>
          <w:ilvl w:val="0"/>
          <w:numId w:val="2"/>
        </w:numPr>
      </w:pPr>
      <w:r>
        <w:rPr>
          <w:rFonts w:ascii="Arial" w:cs="Arial" w:eastAsia="Arial" w:hAnsi="Arial"/>
          <w:color w:val="3A4A5A"/>
          <w:sz w:val="22"/>
          <w:szCs w:val="22"/>
        </w:rPr>
        <w:t xml:space="preserve">Many employee contracts contain non-compete or restraint of trade clauses restricting work with competitors during and after employment.</w:t>
      </w:r>
    </w:p>
    <w:p>
      <w:pPr>
        <w:pStyle w:val="ListParagraph"/>
        <w:numPr>
          <w:ilvl w:val="0"/>
          <w:numId w:val="2"/>
        </w:numPr>
      </w:pPr>
      <w:r>
        <w:rPr>
          <w:rFonts w:ascii="Arial" w:cs="Arial" w:eastAsia="Arial" w:hAnsi="Arial"/>
          <w:color w:val="3A4A5A"/>
          <w:sz w:val="22"/>
          <w:szCs w:val="22"/>
        </w:rPr>
        <w:t xml:space="preserve">Employees must review their employment contract to understand any restraint obligations.</w:t>
      </w:r>
    </w:p>
    <w:p>
      <w:pPr>
        <w:pStyle w:val="ListParagraph"/>
        <w:numPr>
          <w:ilvl w:val="0"/>
          <w:numId w:val="2"/>
        </w:numPr>
      </w:pPr>
      <w:r>
        <w:rPr>
          <w:rFonts w:ascii="Arial" w:cs="Arial" w:eastAsia="Arial" w:hAnsi="Arial"/>
          <w:color w:val="3A4A5A"/>
          <w:sz w:val="22"/>
          <w:szCs w:val="22"/>
        </w:rPr>
        <w:t xml:space="preserve">Breaching a restraint clause may expose the employee to legal action (injunction, damages) from the company.</w:t>
      </w:r>
    </w:p>
    <w:p>
      <w:pPr>
        <w:pStyle w:val="ListParagraph"/>
        <w:numPr>
          <w:ilvl w:val="0"/>
          <w:numId w:val="2"/>
        </w:numPr>
      </w:pPr>
      <w:r>
        <w:rPr>
          <w:rFonts w:ascii="Arial" w:cs="Arial" w:eastAsia="Arial" w:hAnsi="Arial"/>
          <w:color w:val="3A4A5A"/>
          <w:sz w:val="22"/>
          <w:szCs w:val="22"/>
        </w:rPr>
        <w:t xml:space="preserve">The company may seek legal remedies to prevent breach or enforce restraint terms.</w:t>
      </w:r>
    </w:p>
    <w:p>
      <w:pPr>
        <w:pStyle w:val="ListParagraph"/>
        <w:numPr>
          <w:ilvl w:val="0"/>
          <w:numId w:val="2"/>
        </w:numPr>
      </w:pPr>
      <w:r>
        <w:rPr>
          <w:rFonts w:ascii="Arial" w:cs="Arial" w:eastAsia="Arial" w:hAnsi="Arial"/>
          <w:color w:val="3A4A5A"/>
          <w:sz w:val="22"/>
          <w:szCs w:val="22"/>
        </w:rPr>
        <w:t xml:space="preserve">Employees considering work in potentially competing fields should consult with HR before commencing.</w:t>
      </w:r>
    </w:p>
    <w:p>
      <w:pPr>
        <w:pStyle w:val="Heading3"/>
      </w:pPr>
      <w:r>
        <w:t xml:space="preserve">3.8 POPIA Compliance and Client Confidentiality</w:t>
      </w:r>
    </w:p>
    <w:p>
      <w:pPr>
        <w:pStyle w:val="ListParagraph"/>
        <w:numPr>
          <w:ilvl w:val="0"/>
          <w:numId w:val="2"/>
        </w:numPr>
      </w:pPr>
      <w:r>
        <w:rPr>
          <w:rFonts w:ascii="Arial" w:cs="Arial" w:eastAsia="Arial" w:hAnsi="Arial"/>
          <w:color w:val="3A4A5A"/>
          <w:sz w:val="22"/>
          <w:szCs w:val="22"/>
        </w:rPr>
        <w:t xml:space="preserve">Client information (names, contact details, project data, financials) obtained through company work is confidential and proprietary.</w:t>
      </w:r>
    </w:p>
    <w:p>
      <w:pPr>
        <w:pStyle w:val="ListParagraph"/>
        <w:numPr>
          <w:ilvl w:val="0"/>
          <w:numId w:val="2"/>
        </w:numPr>
      </w:pPr>
      <w:r>
        <w:rPr>
          <w:rFonts w:ascii="Arial" w:cs="Arial" w:eastAsia="Arial" w:hAnsi="Arial"/>
          <w:color w:val="3A4A5A"/>
          <w:sz w:val="22"/>
          <w:szCs w:val="22"/>
        </w:rPr>
        <w:t xml:space="preserve">Client data may not be used, referenced, or disclosed for private work or freelancing activities.</w:t>
      </w:r>
    </w:p>
    <w:p>
      <w:pPr>
        <w:pStyle w:val="ListParagraph"/>
        <w:numPr>
          <w:ilvl w:val="0"/>
          <w:numId w:val="2"/>
        </w:numPr>
      </w:pPr>
      <w:r>
        <w:rPr>
          <w:rFonts w:ascii="Arial" w:cs="Arial" w:eastAsia="Arial" w:hAnsi="Arial"/>
          <w:color w:val="3A4A5A"/>
          <w:sz w:val="22"/>
          <w:szCs w:val="22"/>
        </w:rPr>
        <w:t xml:space="preserve">Employees may not use company client relationships to solicit business for private work.</w:t>
      </w:r>
    </w:p>
    <w:p>
      <w:pPr>
        <w:pStyle w:val="ListParagraph"/>
        <w:numPr>
          <w:ilvl w:val="0"/>
          <w:numId w:val="2"/>
        </w:numPr>
      </w:pPr>
      <w:r>
        <w:rPr>
          <w:rFonts w:ascii="Arial" w:cs="Arial" w:eastAsia="Arial" w:hAnsi="Arial"/>
          <w:color w:val="3A4A5A"/>
          <w:sz w:val="22"/>
          <w:szCs w:val="22"/>
        </w:rPr>
        <w:t xml:space="preserve">Violation of POPIA or confidentiality may result in disciplinary action and legal claims for damages.</w:t>
      </w:r>
    </w:p>
    <w:p>
      <w:pPr>
        <w:pStyle w:val="ListParagraph"/>
        <w:numPr>
          <w:ilvl w:val="0"/>
          <w:numId w:val="2"/>
        </w:numPr>
      </w:pPr>
      <w:r>
        <w:rPr>
          <w:rFonts w:ascii="Arial" w:cs="Arial" w:eastAsia="Arial" w:hAnsi="Arial"/>
          <w:color w:val="3A4A5A"/>
          <w:sz w:val="22"/>
          <w:szCs w:val="22"/>
        </w:rPr>
        <w:t xml:space="preserve">Employees must ensure private work does not involve handling personal information of company clients without appropriate safeguards.</w:t>
      </w:r>
    </w:p>
    <w:p>
      <w:pPr>
        <w:pStyle w:val="Heading3"/>
      </w:pPr>
      <w:r>
        <w:t xml:space="preserve">3.9 Declaration and Approval Process</w:t>
      </w:r>
    </w:p>
    <w:p>
      <w:pPr>
        <w:spacing w:after="60" w:before="60"/>
      </w:pPr>
      <w:r>
        <w:rPr>
          <w:rFonts w:ascii="Arial" w:cs="Arial" w:eastAsia="Arial" w:hAnsi="Arial"/>
          <w:b w:val="false"/>
          <w:bCs w:val="false"/>
          <w:color w:val="3A4A5A"/>
          <w:sz w:val="22"/>
          <w:szCs w:val="22"/>
        </w:rPr>
        <w:t xml:space="preserve">Employees contemplating private work outside office hours are encouraged to declare the activity to HR:</w:t>
      </w:r>
    </w:p>
    <w:p>
      <w:pPr>
        <w:pStyle w:val="ListParagraph"/>
        <w:numPr>
          <w:ilvl w:val="0"/>
          <w:numId w:val="2"/>
        </w:numPr>
      </w:pPr>
      <w:r>
        <w:rPr>
          <w:rFonts w:ascii="Arial" w:cs="Arial" w:eastAsia="Arial" w:hAnsi="Arial"/>
          <w:color w:val="3A4A5A"/>
          <w:sz w:val="22"/>
          <w:szCs w:val="22"/>
        </w:rPr>
        <w:t xml:space="preserve">A formal declaration is recommended for any activity that could potentially involve conflict of interest or IP concerns.</w:t>
      </w:r>
    </w:p>
    <w:p>
      <w:pPr>
        <w:pStyle w:val="ListParagraph"/>
        <w:numPr>
          <w:ilvl w:val="0"/>
          <w:numId w:val="2"/>
        </w:numPr>
      </w:pPr>
      <w:r>
        <w:rPr>
          <w:rFonts w:ascii="Arial" w:cs="Arial" w:eastAsia="Arial" w:hAnsi="Arial"/>
          <w:color w:val="3A4A5A"/>
          <w:sz w:val="22"/>
          <w:szCs w:val="22"/>
        </w:rPr>
        <w:t xml:space="preserve">Declaration should be made before commencing the private work.</w:t>
      </w:r>
    </w:p>
    <w:p>
      <w:pPr>
        <w:pStyle w:val="ListParagraph"/>
        <w:numPr>
          <w:ilvl w:val="0"/>
          <w:numId w:val="2"/>
        </w:numPr>
      </w:pPr>
      <w:r>
        <w:rPr>
          <w:rFonts w:ascii="Arial" w:cs="Arial" w:eastAsia="Arial" w:hAnsi="Arial"/>
          <w:color w:val="3A4A5A"/>
          <w:sz w:val="22"/>
          <w:szCs w:val="22"/>
        </w:rPr>
        <w:t xml:space="preserve">HR will review the declaration and advise whether the activity is permitted under this policy and the employment contract.</w:t>
      </w:r>
    </w:p>
    <w:p>
      <w:pPr>
        <w:pStyle w:val="ListParagraph"/>
        <w:numPr>
          <w:ilvl w:val="0"/>
          <w:numId w:val="2"/>
        </w:numPr>
      </w:pPr>
      <w:r>
        <w:rPr>
          <w:rFonts w:ascii="Arial" w:cs="Arial" w:eastAsia="Arial" w:hAnsi="Arial"/>
          <w:color w:val="3A4A5A"/>
          <w:sz w:val="22"/>
          <w:szCs w:val="22"/>
        </w:rPr>
        <w:t xml:space="preserve">Written approval from HR provides protection for the employee and clarity for the company.</w:t>
      </w:r>
    </w:p>
    <w:p>
      <w:pPr>
        <w:pStyle w:val="ListParagraph"/>
        <w:numPr>
          <w:ilvl w:val="0"/>
          <w:numId w:val="2"/>
        </w:numPr>
      </w:pPr>
      <w:r>
        <w:rPr>
          <w:rFonts w:ascii="Arial" w:cs="Arial" w:eastAsia="Arial" w:hAnsi="Arial"/>
          <w:color w:val="3A4A5A"/>
          <w:sz w:val="22"/>
          <w:szCs w:val="22"/>
        </w:rPr>
        <w:t xml:space="preserve">Failure to declare private work does not automatically permit the activity; breach may still be actionable.</w:t>
      </w:r>
    </w:p>
    <w:p>
      <w:pPr>
        <w:pStyle w:val="Heading3"/>
      </w:pPr>
      <w:r>
        <w:t xml:space="preserve">3.10 Ongoing Obligations</w:t>
      </w:r>
    </w:p>
    <w:p>
      <w:pPr>
        <w:pStyle w:val="ListParagraph"/>
        <w:numPr>
          <w:ilvl w:val="0"/>
          <w:numId w:val="2"/>
        </w:numPr>
      </w:pPr>
      <w:r>
        <w:rPr>
          <w:rFonts w:ascii="Arial" w:cs="Arial" w:eastAsia="Arial" w:hAnsi="Arial"/>
          <w:color w:val="3A4A5A"/>
          <w:sz w:val="22"/>
          <w:szCs w:val="22"/>
        </w:rPr>
        <w:t xml:space="preserve">Employees must monitor their private work activities to ensure continued compliance with this policy.</w:t>
      </w:r>
    </w:p>
    <w:p>
      <w:pPr>
        <w:pStyle w:val="ListParagraph"/>
        <w:numPr>
          <w:ilvl w:val="0"/>
          <w:numId w:val="2"/>
        </w:numPr>
      </w:pPr>
      <w:r>
        <w:rPr>
          <w:rFonts w:ascii="Arial" w:cs="Arial" w:eastAsia="Arial" w:hAnsi="Arial"/>
          <w:color w:val="3A4A5A"/>
          <w:sz w:val="22"/>
          <w:szCs w:val="22"/>
        </w:rPr>
        <w:t xml:space="preserve">If circumstances change (e.g., client becomes a company client), the employee must immediately notify HR.</w:t>
      </w:r>
    </w:p>
    <w:p>
      <w:pPr>
        <w:pStyle w:val="ListParagraph"/>
        <w:numPr>
          <w:ilvl w:val="0"/>
          <w:numId w:val="2"/>
        </w:numPr>
      </w:pPr>
      <w:r>
        <w:rPr>
          <w:rFonts w:ascii="Arial" w:cs="Arial" w:eastAsia="Arial" w:hAnsi="Arial"/>
          <w:color w:val="3A4A5A"/>
          <w:sz w:val="22"/>
          <w:szCs w:val="22"/>
        </w:rPr>
        <w:t xml:space="preserve">Employees must not allow private work to interfere with availability for company duties, training, or travel.</w:t>
      </w:r>
    </w:p>
    <w:p>
      <w:pPr>
        <w:pStyle w:val="ListParagraph"/>
        <w:numPr>
          <w:ilvl w:val="0"/>
          <w:numId w:val="2"/>
        </w:numPr>
      </w:pPr>
      <w:r>
        <w:rPr>
          <w:rFonts w:ascii="Arial" w:cs="Arial" w:eastAsia="Arial" w:hAnsi="Arial"/>
          <w:color w:val="3A4A5A"/>
          <w:sz w:val="22"/>
          <w:szCs w:val="22"/>
        </w:rPr>
        <w:t xml:space="preserve">Remote work arrangements do not permit private work during company working hours.</w:t>
      </w:r>
    </w:p>
    <w:p>
      <w:pPr>
        <w:pStyle w:val="Heading2"/>
      </w:pPr>
      <w:r>
        <w:t xml:space="preserve">4. Digital and Online Work Considerations</w:t>
      </w:r>
    </w:p>
    <w:p>
      <w:pPr>
        <w:spacing w:after="60" w:before="60"/>
      </w:pPr>
      <w:r>
        <w:rPr>
          <w:rFonts w:ascii="Arial" w:cs="Arial" w:eastAsia="Arial" w:hAnsi="Arial"/>
          <w:b w:val="false"/>
          <w:bCs w:val="false"/>
          <w:color w:val="3A4A5A"/>
          <w:sz w:val="22"/>
          <w:szCs w:val="22"/>
        </w:rPr>
        <w:t xml:space="preserve">For employees engaged in digital freelancing, content creation, or online consulting:</w:t>
      </w:r>
    </w:p>
    <w:p>
      <w:pPr>
        <w:pStyle w:val="ListParagraph"/>
        <w:numPr>
          <w:ilvl w:val="0"/>
          <w:numId w:val="2"/>
        </w:numPr>
      </w:pPr>
      <w:r>
        <w:rPr>
          <w:rFonts w:ascii="Arial" w:cs="Arial" w:eastAsia="Arial" w:hAnsi="Arial"/>
          <w:color w:val="3A4A5A"/>
          <w:sz w:val="22"/>
          <w:szCs w:val="22"/>
        </w:rPr>
        <w:t xml:space="preserve">Online freelancing platforms must be used only outside office hours.</w:t>
      </w:r>
    </w:p>
    <w:p>
      <w:pPr>
        <w:pStyle w:val="ListParagraph"/>
        <w:numPr>
          <w:ilvl w:val="0"/>
          <w:numId w:val="2"/>
        </w:numPr>
      </w:pPr>
      <w:r>
        <w:rPr>
          <w:rFonts w:ascii="Arial" w:cs="Arial" w:eastAsia="Arial" w:hAnsi="Arial"/>
          <w:color w:val="3A4A5A"/>
          <w:sz w:val="22"/>
          <w:szCs w:val="22"/>
        </w:rPr>
        <w:t xml:space="preserve">Client communications and project work must not use company communication channels (email, Slack, Teams).</w:t>
      </w:r>
    </w:p>
    <w:p>
      <w:pPr>
        <w:pStyle w:val="ListParagraph"/>
        <w:numPr>
          <w:ilvl w:val="0"/>
          <w:numId w:val="2"/>
        </w:numPr>
      </w:pPr>
      <w:r>
        <w:rPr>
          <w:rFonts w:ascii="Arial" w:cs="Arial" w:eastAsia="Arial" w:hAnsi="Arial"/>
          <w:color w:val="3A4A5A"/>
          <w:sz w:val="22"/>
          <w:szCs w:val="22"/>
        </w:rPr>
        <w:t xml:space="preserve">Personal brand development (YouTube, podcast, blog) must not reference company affiliation unless approved.</w:t>
      </w:r>
    </w:p>
    <w:p>
      <w:pPr>
        <w:pStyle w:val="ListParagraph"/>
        <w:numPr>
          <w:ilvl w:val="0"/>
          <w:numId w:val="2"/>
        </w:numPr>
      </w:pPr>
      <w:r>
        <w:rPr>
          <w:rFonts w:ascii="Arial" w:cs="Arial" w:eastAsia="Arial" w:hAnsi="Arial"/>
          <w:color w:val="3A4A5A"/>
          <w:sz w:val="22"/>
          <w:szCs w:val="22"/>
        </w:rPr>
        <w:t xml:space="preserve">Content created must not breach non-compete or client confidentiality obligations.</w:t>
      </w:r>
    </w:p>
    <w:p>
      <w:pPr>
        <w:pStyle w:val="ListParagraph"/>
        <w:numPr>
          <w:ilvl w:val="0"/>
          <w:numId w:val="2"/>
        </w:numPr>
      </w:pPr>
      <w:r>
        <w:rPr>
          <w:rFonts w:ascii="Arial" w:cs="Arial" w:eastAsia="Arial" w:hAnsi="Arial"/>
          <w:color w:val="3A4A5A"/>
          <w:sz w:val="22"/>
          <w:szCs w:val="22"/>
        </w:rPr>
        <w:t xml:space="preserve">Sponsored content or advertising must clearly disclose the employee's affiliation and comply with advertising standards.</w:t>
      </w:r>
    </w:p>
    <w:p>
      <w:pPr>
        <w:pStyle w:val="Heading2"/>
      </w:pPr>
      <w:r>
        <w:t xml:space="preserve">5. Consequences of Breach</w:t>
      </w:r>
    </w:p>
    <w:p>
      <w:pPr>
        <w:pStyle w:val="ListParagraph"/>
        <w:numPr>
          <w:ilvl w:val="0"/>
          <w:numId w:val="2"/>
        </w:numPr>
      </w:pPr>
      <w:r>
        <w:rPr>
          <w:rFonts w:ascii="Arial" w:cs="Arial" w:eastAsia="Arial" w:hAnsi="Arial"/>
          <w:color w:val="3A4A5A"/>
          <w:sz w:val="22"/>
          <w:szCs w:val="22"/>
        </w:rPr>
        <w:t xml:space="preserve">Breach of this policy may result in disciplinary action up to and including dismissal.</w:t>
      </w:r>
    </w:p>
    <w:p>
      <w:pPr>
        <w:pStyle w:val="ListParagraph"/>
        <w:numPr>
          <w:ilvl w:val="0"/>
          <w:numId w:val="2"/>
        </w:numPr>
      </w:pPr>
      <w:r>
        <w:rPr>
          <w:rFonts w:ascii="Arial" w:cs="Arial" w:eastAsia="Arial" w:hAnsi="Arial"/>
          <w:color w:val="3A4A5A"/>
          <w:sz w:val="22"/>
          <w:szCs w:val="22"/>
        </w:rPr>
        <w:t xml:space="preserve">Specific violations: using company resources for private work, breaching confidentiality, or creating IP conflicts may result in immediate suspension pending investigation.</w:t>
      </w:r>
    </w:p>
    <w:p>
      <w:pPr>
        <w:pStyle w:val="ListParagraph"/>
        <w:numPr>
          <w:ilvl w:val="0"/>
          <w:numId w:val="2"/>
        </w:numPr>
      </w:pPr>
      <w:r>
        <w:rPr>
          <w:rFonts w:ascii="Arial" w:cs="Arial" w:eastAsia="Arial" w:hAnsi="Arial"/>
          <w:color w:val="3A4A5A"/>
          <w:sz w:val="22"/>
          <w:szCs w:val="22"/>
        </w:rPr>
        <w:t xml:space="preserve">The company may pursue civil claims for damages, recovery of costs, or enforcement of IP rights.</w:t>
      </w:r>
    </w:p>
    <w:p>
      <w:pPr>
        <w:pStyle w:val="ListParagraph"/>
        <w:numPr>
          <w:ilvl w:val="0"/>
          <w:numId w:val="2"/>
        </w:numPr>
      </w:pPr>
      <w:r>
        <w:rPr>
          <w:rFonts w:ascii="Arial" w:cs="Arial" w:eastAsia="Arial" w:hAnsi="Arial"/>
          <w:color w:val="3A4A5A"/>
          <w:sz w:val="22"/>
          <w:szCs w:val="22"/>
        </w:rPr>
        <w:t xml:space="preserve">Breach of restraint of trade clauses may result in injunction proceedings and damage claims.</w:t>
      </w:r>
    </w:p>
    <w:p>
      <w:pPr>
        <w:pStyle w:val="Heading2"/>
      </w:pPr>
      <w:r>
        <w:t xml:space="preserve">6. Responsibilities</w:t>
      </w:r>
    </w:p>
    <w:p>
      <w:pPr>
        <w:pStyle w:val="ListParagraph"/>
        <w:numPr>
          <w:ilvl w:val="0"/>
          <w:numId w:val="2"/>
        </w:numPr>
      </w:pPr>
      <w:r>
        <w:rPr>
          <w:rFonts w:ascii="Arial" w:cs="Arial" w:eastAsia="Arial" w:hAnsi="Arial"/>
          <w:color w:val="3A4A5A"/>
          <w:sz w:val="22"/>
          <w:szCs w:val="22"/>
        </w:rPr>
        <w:t xml:space="preserve">Employees: declare private work activities, comply with policy, refrain from using company resources, protect client confidentiality.</w:t>
      </w:r>
    </w:p>
    <w:p>
      <w:pPr>
        <w:pStyle w:val="ListParagraph"/>
        <w:numPr>
          <w:ilvl w:val="0"/>
          <w:numId w:val="2"/>
        </w:numPr>
      </w:pPr>
      <w:r>
        <w:rPr>
          <w:rFonts w:ascii="Arial" w:cs="Arial" w:eastAsia="Arial" w:hAnsi="Arial"/>
          <w:color w:val="3A4A5A"/>
          <w:sz w:val="22"/>
          <w:szCs w:val="22"/>
        </w:rPr>
        <w:t xml:space="preserve">HR Department: review declarations, provide guidance, monitor policy compliance, coordinate with legal if needed.</w:t>
      </w:r>
    </w:p>
    <w:p>
      <w:pPr>
        <w:pStyle w:val="ListParagraph"/>
        <w:numPr>
          <w:ilvl w:val="0"/>
          <w:numId w:val="2"/>
        </w:numPr>
      </w:pPr>
      <w:r>
        <w:rPr>
          <w:rFonts w:ascii="Arial" w:cs="Arial" w:eastAsia="Arial" w:hAnsi="Arial"/>
          <w:color w:val="3A4A5A"/>
          <w:sz w:val="22"/>
          <w:szCs w:val="22"/>
        </w:rPr>
        <w:t xml:space="preserve">Managers: monitor team members for signs of conflicting private work, report concerns to HR.</w:t>
      </w:r>
    </w:p>
    <w:p>
      <w:pPr>
        <w:pStyle w:val="Heading2"/>
      </w:pPr>
      <w:r>
        <w:t xml:space="preserve">7. Review and Amendment</w:t>
      </w:r>
    </w:p>
    <w:p>
      <w:pPr>
        <w:spacing w:after="60" w:before="60"/>
      </w:pPr>
      <w:r>
        <w:rPr>
          <w:rFonts w:ascii="Arial" w:cs="Arial" w:eastAsia="Arial" w:hAnsi="Arial"/>
          <w:b w:val="false"/>
          <w:bCs w:val="false"/>
          <w:color w:val="3A4A5A"/>
          <w:sz w:val="22"/>
          <w:szCs w:val="22"/>
        </w:rPr>
        <w:t xml:space="preserve">This policy will be reviewed annually and amended as necessary to reflect evolving work practices, particularly in digital and remote work contexts.</w:t>
      </w:r>
    </w:p>
    <w:p>
      <w:pPr>
        <w:pStyle w:val="Heading2"/>
      </w:pPr>
      <w:r>
        <w:t xml:space="preserve">8. Effective Date</w:t>
      </w:r>
    </w:p>
    <w:p>
      <w:pPr>
        <w:spacing w:after="60" w:before="60"/>
      </w:pPr>
      <w:r>
        <w:rPr>
          <w:rFonts w:ascii="Arial" w:cs="Arial" w:eastAsia="Arial" w:hAnsi="Arial"/>
          <w:b w:val="false"/>
          <w:bCs w:val="false"/>
          <w:color w:val="3A4A5A"/>
          <w:sz w:val="22"/>
          <w:szCs w:val="22"/>
        </w:rPr>
        <w:t xml:space="preserve">This policy is effective from 1 April 2026.</w:t>
      </w:r>
    </w:p>
    <w:p>
      <w:pPr>
        <w:pStyle w:val="Heading2"/>
      </w:pPr>
      <w:r>
        <w:t xml:space="preserve">9. References</w:t>
      </w:r>
    </w:p>
    <w:p>
      <w:pPr>
        <w:pStyle w:val="ListParagraph"/>
        <w:numPr>
          <w:ilvl w:val="0"/>
          <w:numId w:val="2"/>
        </w:numPr>
      </w:pPr>
      <w:r>
        <w:rPr>
          <w:rFonts w:ascii="Arial" w:cs="Arial" w:eastAsia="Arial" w:hAnsi="Arial"/>
          <w:color w:val="3A4A5A"/>
          <w:sz w:val="22"/>
          <w:szCs w:val="22"/>
        </w:rPr>
        <w:t xml:space="preserve">Employment contract restraint of trade clauses</w:t>
      </w:r>
    </w:p>
    <w:p>
      <w:pPr>
        <w:pStyle w:val="ListParagraph"/>
        <w:numPr>
          <w:ilvl w:val="0"/>
          <w:numId w:val="2"/>
        </w:numPr>
      </w:pPr>
      <w:r>
        <w:rPr>
          <w:rFonts w:ascii="Arial" w:cs="Arial" w:eastAsia="Arial" w:hAnsi="Arial"/>
          <w:color w:val="3A4A5A"/>
          <w:sz w:val="22"/>
          <w:szCs w:val="22"/>
        </w:rPr>
        <w:t xml:space="preserve">Protection of Personal Information Act, 2013 (POPIA)</w:t>
      </w:r>
    </w:p>
    <w:p>
      <w:pPr>
        <w:pStyle w:val="ListParagraph"/>
        <w:numPr>
          <w:ilvl w:val="0"/>
          <w:numId w:val="2"/>
        </w:numPr>
      </w:pPr>
      <w:r>
        <w:rPr>
          <w:rFonts w:ascii="Arial" w:cs="Arial" w:eastAsia="Arial" w:hAnsi="Arial"/>
          <w:color w:val="3A4A5A"/>
          <w:sz w:val="22"/>
          <w:szCs w:val="22"/>
        </w:rPr>
        <w:t xml:space="preserve">Competition Act, 1998</w:t>
      </w:r>
    </w:p>
    <w:p>
      <w:pPr>
        <w:pStyle w:val="ListParagraph"/>
        <w:numPr>
          <w:ilvl w:val="0"/>
          <w:numId w:val="2"/>
        </w:numPr>
      </w:pPr>
      <w:r>
        <w:rPr>
          <w:rFonts w:ascii="Arial" w:cs="Arial" w:eastAsia="Arial" w:hAnsi="Arial"/>
          <w:color w:val="3A4A5A"/>
          <w:sz w:val="22"/>
          <w:szCs w:val="22"/>
        </w:rPr>
        <w:t xml:space="preserve">Common law principles regarding intellectual property and confidentiality</w:t>
      </w:r>
    </w:p>
    <w:p>
      <w:pPr>
        <w:spacing w:after="0" w:before="300"/>
      </w:pPr>
    </w:p>
    <w:p>
      <w:pPr>
        <w:pStyle w:val="Heading2"/>
      </w:pPr>
      <w:r>
        <w:t xml:space="preserve">Sign-Off</w:t>
      </w:r>
    </w:p>
    <w:p>
      <w:pPr>
        <w:spacing w:after="60" w:before="60"/>
      </w:pPr>
      <w:r>
        <w:rPr>
          <w:rFonts w:ascii="Arial" w:cs="Arial" w:eastAsia="Arial" w:hAnsi="Arial"/>
          <w:b w:val="false"/>
          <w:bCs w:val="false"/>
          <w:color w:val="3A4A5A"/>
          <w:sz w:val="22"/>
          <w:szCs w:val="22"/>
        </w:rPr>
        <w:t xml:space="preserve">This policy has been reviewed and approved by the undersigned.</w:t>
      </w:r>
    </w:p>
    <w:p>
      <w:pPr>
        <w:spacing w:after="0" w:before="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7"/>
        <w:gridCol w:w="3116"/>
        <w:gridCol w:w="2117"/>
      </w:tblGrid>
      <w:tr>
        <w:tc>
          <w:tcPr>
            <w:tcW w:type="dxa" w:w="26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6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116"/>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2117"/>
            <w:tcBorders>
              <w:top w:val="single" w:color="DDE1EA" w:sz="4"/>
              <w:left w:val="single" w:color="DDE1EA" w:sz="4"/>
              <w:bottom w:val="single" w:color="DDE1EA" w:sz="4"/>
              <w:right w:val="single" w:color="DDE1EA" w:sz="4"/>
            </w:tcBorders>
            <w:shd w:fill="1B6FFF"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4F6FA" w:val="clear"/>
            <w:tcMar>
              <w:top w:type="dxa" w:w="80"/>
              <w:left w:type="dxa" w:w="120"/>
              <w:bottom w:type="dxa" w:w="80"/>
              <w:right w:type="dxa" w:w="120"/>
            </w:tcMar>
          </w:tcPr>
          <w:p>
            <w:r>
              <w:rPr>
                <w:rFonts w:ascii="Arial" w:cs="Arial" w:eastAsia="Arial" w:hAnsi="Arial"/>
                <w:color w:val="3A4A5A"/>
                <w:sz w:val="18"/>
                <w:szCs w:val="18"/>
              </w:rPr>
              <w:t xml:space="preserve"> </w:t>
            </w:r>
          </w:p>
        </w:tc>
      </w:tr>
      <w:tr>
        <w:tc>
          <w:tcPr>
            <w:tcW w:type="dxa" w:w="26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6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3116"/>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c>
          <w:tcPr>
            <w:tcW w:type="dxa" w:w="2117"/>
            <w:tcBorders>
              <w:top w:val="single" w:color="DDE1EA" w:sz="4"/>
              <w:left w:val="single" w:color="DDE1EA" w:sz="4"/>
              <w:bottom w:val="single" w:color="DDE1EA" w:sz="4"/>
              <w:right w:val="single" w:color="DDE1EA" w:sz="4"/>
            </w:tcBorders>
            <w:shd w:fill="FFFFFF" w:val="clear"/>
            <w:tcMar>
              <w:top w:type="dxa" w:w="80"/>
              <w:left w:type="dxa" w:w="120"/>
              <w:bottom w:type="dxa" w:w="80"/>
              <w:right w:type="dxa" w:w="120"/>
            </w:tcMar>
          </w:tcPr>
          <w:p>
            <w:r>
              <w:rPr>
                <w:rFonts w:ascii="Arial" w:cs="Arial" w:eastAsia="Arial" w:hAnsi="Arial"/>
                <w:color w:val="3A4A5A"/>
                <w:sz w:val="18"/>
                <w:szCs w:val="18"/>
              </w:rPr>
              <w:t xml:space="preserve"> </w:t>
            </w:r>
          </w:p>
        </w:tc>
      </w:tr>
    </w:tbl>
    <w:p>
      <w:pPr>
        <w:spacing w:after="0" w:before="200"/>
      </w:pPr>
    </w:p>
    <w:p>
      <w:pPr>
        <w:pStyle w:val="Heading2"/>
      </w:pPr>
      <w:r>
        <w:t xml:space="preserve">Communication and Amendments</w:t>
      </w:r>
    </w:p>
    <w:p>
      <w:pPr>
        <w:pStyle w:val="ListParagraph"/>
        <w:numPr>
          <w:ilvl w:val="0"/>
          <w:numId w:val="2"/>
        </w:numPr>
      </w:pPr>
      <w:r>
        <w:rPr>
          <w:rFonts w:ascii="Arial" w:cs="Arial" w:eastAsia="Arial" w:hAnsi="Arial"/>
          <w:color w:val="3A4A5A"/>
          <w:sz w:val="22"/>
          <w:szCs w:val="22"/>
        </w:rPr>
        <w:t xml:space="preserve">Managers and team leaders must communicate this policy to all employees reporting to them.</w:t>
      </w:r>
    </w:p>
    <w:p>
      <w:pPr>
        <w:pStyle w:val="ListParagraph"/>
        <w:numPr>
          <w:ilvl w:val="0"/>
          <w:numId w:val="2"/>
        </w:numPr>
      </w:pPr>
      <w:r>
        <w:rPr>
          <w:rFonts w:ascii="Arial" w:cs="Arial" w:eastAsia="Arial" w:hAnsi="Arial"/>
          <w:color w:val="3A4A5A"/>
          <w:sz w:val="22"/>
          <w:szCs w:val="22"/>
        </w:rPr>
        <w:t xml:space="preserve">This policy may be amended from time to time without prior consultation or notice, subject to applicable legislation.</w:t>
      </w:r>
    </w:p>
    <w:p>
      <w:pPr>
        <w:pStyle w:val="ListParagraph"/>
        <w:numPr>
          <w:ilvl w:val="0"/>
          <w:numId w:val="2"/>
        </w:numPr>
      </w:pPr>
      <w:r>
        <w:rPr>
          <w:rFonts w:ascii="Arial" w:cs="Arial" w:eastAsia="Arial" w:hAnsi="Arial"/>
          <w:color w:val="3A4A5A"/>
          <w:sz w:val="22"/>
          <w:szCs w:val="22"/>
        </w:rPr>
        <w:t xml:space="preserve">The most current version of this policy will be made available on the company intranet or shared document repository.</w:t>
      </w:r>
    </w:p>
    <w:sectPr>
      <w:headerReference w:type="default" r:id="rId7"/>
      <w:footerReference w:type="default" r:id="rId8"/>
      <w:pgSz w:w="11906" w:h="16838" w:orient="portrait"/>
      <w:pgMar w:top="720" w:right="720" w:bottom="14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66"/>
      <w:tblBorders>
        <w:top w:val="none"/>
        <w:left w:val="none"/>
        <w:bottom w:val="none"/>
        <w:right w:val="none"/>
        <w:insideH w:val="single" w:color="auto" w:sz="4"/>
        <w:insideV w:val="single" w:color="auto" w:sz="4"/>
      </w:tblBorders>
    </w:tblPr>
    <w:tblGrid>
      <w:gridCol w:w="6800"/>
      <w:gridCol w:w="3666"/>
    </w:tblGrid>
    <w:tr>
      <w:tc>
        <w:tcPr>
          <w:tcW w:type="dxa" w:w="6800"/>
          <w:tcBorders>
            <w:top w:val="single" w:color="DDE1EA" w:sz="4"/>
            <w:left w:val="none"/>
            <w:bottom w:val="none"/>
            <w:right w:val="none"/>
          </w:tcBorders>
          <w:tcMar>
            <w:top w:type="dxa" w:w="80"/>
            <w:left w:type="dxa" w:w="0"/>
            <w:bottom w:type="dxa" w:w="0"/>
            <w:right w:type="dxa" w:w="120"/>
          </w:tcMar>
        </w:tcPr>
        <w:p>
          <w:pPr>
            <w:spacing w:after="0" w:before="80"/>
          </w:pPr>
          <w:r>
            <w:rPr>
              <w:rFonts w:ascii="Arial" w:cs="Arial" w:eastAsia="Arial" w:hAnsi="Arial"/>
              <w:color w:val="8A98A8"/>
              <w:sz w:val="14"/>
              <w:szCs w:val="14"/>
            </w:rPr>
            <w:t xml:space="preserve">256 Rondebult Rd, Parkdene, Boksburg, 1459, Gauteng  |  Tel: +27(0)11-913-3320</w:t>
          </w:r>
        </w:p>
        <w:p>
          <w:pPr>
            <w:spacing w:after="0" w:before="20"/>
          </w:pPr>
          <w:r>
            <w:rPr>
              <w:rFonts w:ascii="Arial" w:cs="Arial" w:eastAsia="Arial" w:hAnsi="Arial"/>
              <w:color w:val="8A98A8"/>
              <w:sz w:val="14"/>
              <w:szCs w:val="14"/>
            </w:rPr>
            <w:t xml:space="preserve">Reg No: 1988/007393/07  |  VAT: 4210112126  |  Est. 1988</w:t>
          </w:r>
        </w:p>
        <w:p>
          <w:pPr>
            <w:spacing w:after="0" w:before="20"/>
          </w:pPr>
          <w:r>
            <w:rPr>
              <w:rFonts w:ascii="Arial" w:cs="Arial" w:eastAsia="Arial" w:hAnsi="Arial"/>
              <w:color w:val="8A98A8"/>
              <w:sz w:val="14"/>
              <w:szCs w:val="14"/>
            </w:rPr>
            <w:t xml:space="preserve">Directors: R.A. de Kock (Managing), C. Haasbroek</w:t>
          </w:r>
        </w:p>
      </w:tc>
      <w:tc>
        <w:tcPr>
          <w:tcW w:type="dxa" w:w="3666"/>
          <w:tcBorders>
            <w:top w:val="single" w:color="DDE1EA" w:sz="4"/>
            <w:left w:val="none"/>
            <w:bottom w:val="none"/>
            <w:right w:val="none"/>
          </w:tcBorders>
          <w:tcMar>
            <w:top w:type="dxa" w:w="80"/>
            <w:left w:type="dxa" w:w="120"/>
            <w:bottom w:type="dxa" w:w="0"/>
            <w:right w:type="dxa" w:w="0"/>
          </w:tcMar>
          <w:vAlign w:val="center"/>
        </w:tcPr>
        <w:p>
          <w:pPr>
            <w:spacing w:after="0" w:before="0"/>
            <w:jc w:val="right"/>
          </w:pPr>
          <w:r>
            <w:rPr>
              <w:rFonts w:ascii="Arial" w:cs="Arial" w:eastAsia="Arial" w:hAnsi="Arial"/>
              <w:color w:val="1B6FFF"/>
              <w:sz w:val="14"/>
              <w:szCs w:val="14"/>
            </w:rPr>
            <w:t xml:space="preserve">jera.co.za</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FFF" w:sz="16" w:space="4"/>
      </w:pBdr>
      <w:spacing w:after="0"/>
      <w:jc w:val="left"/>
    </w:pPr>
    <w:r>
      <w:drawing>
        <wp:inline distT="0" distB="0" distL="0" distR="0">
          <wp:extent cx="1619250" cy="619125"/>
          <wp:effectExtent t="0" r="0" b="0" l="0"/>
          <wp:docPr id="1" name="JeraLogo" descr="Jera Consulting Logo" title="Je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6191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A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jc w:val="center"/>
      <w:outlineLvl w:val="0"/>
    </w:pPr>
    <w:rPr>
      <w:rFonts w:ascii="Arial" w:cs="Arial" w:eastAsia="Arial" w:hAnsi="Arial"/>
      <w:b/>
      <w:bCs/>
      <w:color w:val="1A2F50"/>
      <w:sz w:val="32"/>
      <w:szCs w:val="32"/>
    </w:rPr>
  </w:style>
  <w:style w:type="paragraph" w:styleId="Heading2">
    <w:name w:val="Heading 2"/>
    <w:basedOn w:val="Normal"/>
    <w:next w:val="Normal"/>
    <w:qFormat/>
    <w:pPr>
      <w:pBdr>
        <w:bottom w:val="single" w:color="1B6FFF" w:sz="8" w:space="4"/>
      </w:pBdr>
      <w:spacing w:after="120" w:before="240"/>
      <w:outlineLvl w:val="1"/>
    </w:pPr>
    <w:rPr>
      <w:rFonts w:ascii="Arial" w:cs="Arial" w:eastAsia="Arial" w:hAnsi="Arial"/>
      <w:b/>
      <w:bCs/>
      <w:color w:val="1B6FFF"/>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A2F50"/>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72655ee311d7e1297b04267f2333d1d98c19f2f.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3F60F771545E4FACCF5894FE890AE5" ma:contentTypeVersion="15" ma:contentTypeDescription="Create a new document." ma:contentTypeScope="" ma:versionID="2b5c8ba39e76d01cd5d87bb3fb98a620">
  <xsd:schema xmlns:xsd="http://www.w3.org/2001/XMLSchema" xmlns:xs="http://www.w3.org/2001/XMLSchema" xmlns:p="http://schemas.microsoft.com/office/2006/metadata/properties" xmlns:ns2="f32016ad-11d9-44d0-8f3a-f66ac62173df" xmlns:ns3="5392da11-5a5e-4873-aaa8-5acd18bf386b" targetNamespace="http://schemas.microsoft.com/office/2006/metadata/properties" ma:root="true" ma:fieldsID="6965f6421835919e11ab26e359dd715d" ns2:_="" ns3:_="">
    <xsd:import namespace="f32016ad-11d9-44d0-8f3a-f66ac62173df"/>
    <xsd:import namespace="5392da11-5a5e-4873-aaa8-5acd18bf38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016ad-11d9-44d0-8f3a-f66ac62173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1e0656-4278-4ea6-a847-5feef18064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92da11-5a5e-4873-aaa8-5acd18bf38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5f4919-6599-4675-964d-ce44e3cd8aec}" ma:internalName="TaxCatchAll" ma:showField="CatchAllData" ma:web="5392da11-5a5e-4873-aaa8-5acd18bf386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392da11-5a5e-4873-aaa8-5acd18bf386b" xsi:nil="true"/>
    <lcf76f155ced4ddcb4097134ff3c332f xmlns="f32016ad-11d9-44d0-8f3a-f66ac62173d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AD44007-33E5-4288-8404-C1B3665F60D5}"/>
</file>

<file path=customXml/itemProps2.xml><?xml version="1.0" encoding="utf-8"?>
<ds:datastoreItem xmlns:ds="http://schemas.openxmlformats.org/officeDocument/2006/customXml" ds:itemID="{5B17513C-F214-47CC-9ADD-75B398EF50BB}"/>
</file>

<file path=customXml/itemProps3.xml><?xml version="1.0" encoding="utf-8"?>
<ds:datastoreItem xmlns:ds="http://schemas.openxmlformats.org/officeDocument/2006/customXml" ds:itemID="{26DB7EDA-E699-42BE-9C22-D2BCFDFDACB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2026-04-13T13:54:32Z</dcterms:created>
  <dcterms:modified xsi:type="dcterms:W3CDTF">2026-04-13T13:54:32Z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0x010100133F60F771545E4FACCF5894FE890AE5</vt:lpwstr>
  </property>
  <property fmtid="{D5CDD505-2E9C-101B-9397-08002B2CF9AE}" pid="3" name="MediaServiceImageTags">
    <vt:lpwstr/>
  </property>
</Properties>
</file>