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  |  April 2026  |  Prepared by Jera Consulting (Pty) Ltd</w:t>
      </w:r>
      <w:r>
        <w:rPr>
          <w:rFonts w:ascii="Arial" w:cs="Arial" w:eastAsia="Arial" w:hAnsi="Arial"/>
          <w:b/>
          <w:bCs/>
          <w:color w:val="1B6FFF"/>
          <w:sz w:val="17"/>
          <w:szCs w:val="17"/>
        </w:rPr>
        <w:t xml:space="preserve">	JERA-POL-HR014</w:t>
      </w:r>
    </w:p>
    <w:p>
      <w:pPr>
        <w:pStyle w:val="Heading1"/>
      </w:pPr>
      <w:r>
        <w:t xml:space="preserve">Employee Relations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Purpose</w:t>
      </w:r>
    </w:p>
    <w:p>
      <w:pPr>
        <w:spacing w:after="60" w:before="60"/>
      </w:pPr>
      <w:r>
        <w:rPr>
          <w:rFonts w:ascii="Arial" w:cs="Arial" w:eastAsia="Arial" w:hAnsi="Arial"/>
          <w:b w:val="false"/>
          <w:bCs w:val="false"/>
          <w:color w:val="3A4A5A"/>
          <w:sz w:val="22"/>
          <w:szCs w:val="22"/>
        </w:rPr>
        <w:t xml:space="preserve">This Employee Relations Policy establishes a framework for managing employee discipline, grievances, and disputes at Jera Consulting. The policy is designed to promote fair, consistent, and transparent handling of workplace issues, foster positive employee relations, maintain productive working relationships, and comply with South African labour legislation.</w:t>
      </w:r>
    </w:p>
    <w:p>
      <w:pPr>
        <w:pStyle w:val="Heading2"/>
      </w:pPr>
      <w:r>
        <w:t xml:space="preserve">2. Discipline Policy</w:t>
      </w:r>
    </w:p>
    <w:p>
      <w:pPr>
        <w:pStyle w:val="Heading3"/>
      </w:pPr>
      <w:r>
        <w:t xml:space="preserve">2.1 Objective</w:t>
      </w:r>
    </w:p>
    <w:p>
      <w:pPr>
        <w:spacing w:after="60" w:before="60"/>
      </w:pPr>
      <w:r>
        <w:rPr>
          <w:rFonts w:ascii="Arial" w:cs="Arial" w:eastAsia="Arial" w:hAnsi="Arial"/>
          <w:b w:val="false"/>
          <w:bCs w:val="false"/>
          <w:color w:val="3A4A5A"/>
          <w:sz w:val="22"/>
          <w:szCs w:val="22"/>
        </w:rPr>
        <w:t xml:space="preserve">The objective of disciplinary action is to:</w:t>
      </w:r>
    </w:p>
    <w:p>
      <w:pPr>
        <w:pStyle w:val="ListParagraph"/>
        <w:numPr>
          <w:ilvl w:val="0"/>
          <w:numId w:val="2"/>
        </w:numPr>
      </w:pPr>
      <w:r>
        <w:rPr>
          <w:rFonts w:ascii="Arial" w:cs="Arial" w:eastAsia="Arial" w:hAnsi="Arial"/>
          <w:color w:val="3A4A5A"/>
          <w:sz w:val="22"/>
          <w:szCs w:val="22"/>
        </w:rPr>
        <w:t xml:space="preserve">Correct unacceptable or misconduct behaviour</w:t>
      </w:r>
    </w:p>
    <w:p>
      <w:pPr>
        <w:pStyle w:val="ListParagraph"/>
        <w:numPr>
          <w:ilvl w:val="0"/>
          <w:numId w:val="2"/>
        </w:numPr>
      </w:pPr>
      <w:r>
        <w:rPr>
          <w:rFonts w:ascii="Arial" w:cs="Arial" w:eastAsia="Arial" w:hAnsi="Arial"/>
          <w:color w:val="3A4A5A"/>
          <w:sz w:val="22"/>
          <w:szCs w:val="22"/>
        </w:rPr>
        <w:t xml:space="preserve">Encourage compliance with company policies and procedures</w:t>
      </w:r>
    </w:p>
    <w:p>
      <w:pPr>
        <w:pStyle w:val="ListParagraph"/>
        <w:numPr>
          <w:ilvl w:val="0"/>
          <w:numId w:val="2"/>
        </w:numPr>
      </w:pPr>
      <w:r>
        <w:rPr>
          <w:rFonts w:ascii="Arial" w:cs="Arial" w:eastAsia="Arial" w:hAnsi="Arial"/>
          <w:color w:val="3A4A5A"/>
          <w:sz w:val="22"/>
          <w:szCs w:val="22"/>
        </w:rPr>
        <w:t xml:space="preserve">Maintain workplace standards and productivity</w:t>
      </w:r>
    </w:p>
    <w:p>
      <w:pPr>
        <w:pStyle w:val="ListParagraph"/>
        <w:numPr>
          <w:ilvl w:val="0"/>
          <w:numId w:val="2"/>
        </w:numPr>
      </w:pPr>
      <w:r>
        <w:rPr>
          <w:rFonts w:ascii="Arial" w:cs="Arial" w:eastAsia="Arial" w:hAnsi="Arial"/>
          <w:color w:val="3A4A5A"/>
          <w:sz w:val="22"/>
          <w:szCs w:val="22"/>
        </w:rPr>
        <w:t xml:space="preserve">Support employee improvement and development</w:t>
      </w:r>
    </w:p>
    <w:p>
      <w:pPr>
        <w:pStyle w:val="ListParagraph"/>
        <w:numPr>
          <w:ilvl w:val="0"/>
          <w:numId w:val="2"/>
        </w:numPr>
      </w:pPr>
      <w:r>
        <w:rPr>
          <w:rFonts w:ascii="Arial" w:cs="Arial" w:eastAsia="Arial" w:hAnsi="Arial"/>
          <w:color w:val="3A4A5A"/>
          <w:sz w:val="22"/>
          <w:szCs w:val="22"/>
        </w:rPr>
        <w:t xml:space="preserve">Ensure fair and consistent application of standards</w:t>
      </w:r>
    </w:p>
    <w:p>
      <w:pPr>
        <w:pStyle w:val="Heading3"/>
      </w:pPr>
      <w:r>
        <w:t xml:space="preserve">2.2 Principles of Discipline</w:t>
      </w:r>
    </w:p>
    <w:p>
      <w:pPr>
        <w:spacing w:after="60" w:before="60"/>
      </w:pPr>
      <w:r>
        <w:rPr>
          <w:rFonts w:ascii="Arial" w:cs="Arial" w:eastAsia="Arial" w:hAnsi="Arial"/>
          <w:b w:val="false"/>
          <w:bCs w:val="false"/>
          <w:color w:val="3A4A5A"/>
          <w:sz w:val="22"/>
          <w:szCs w:val="22"/>
        </w:rPr>
        <w:t xml:space="preserve">All disciplinary action will be based on the following principles:</w:t>
      </w:r>
    </w:p>
    <w:p>
      <w:pPr>
        <w:pStyle w:val="ListParagraph"/>
        <w:numPr>
          <w:ilvl w:val="0"/>
          <w:numId w:val="2"/>
        </w:numPr>
      </w:pPr>
      <w:r>
        <w:rPr>
          <w:rFonts w:ascii="Arial" w:cs="Arial" w:eastAsia="Arial" w:hAnsi="Arial"/>
          <w:color w:val="3A4A5A"/>
          <w:sz w:val="22"/>
          <w:szCs w:val="22"/>
        </w:rPr>
        <w:t xml:space="preserve">Fairness: All employees will be treated fairly and consistently</w:t>
      </w:r>
    </w:p>
    <w:p>
      <w:pPr>
        <w:pStyle w:val="ListParagraph"/>
        <w:numPr>
          <w:ilvl w:val="0"/>
          <w:numId w:val="2"/>
        </w:numPr>
      </w:pPr>
      <w:r>
        <w:rPr>
          <w:rFonts w:ascii="Arial" w:cs="Arial" w:eastAsia="Arial" w:hAnsi="Arial"/>
          <w:color w:val="3A4A5A"/>
          <w:sz w:val="22"/>
          <w:szCs w:val="22"/>
        </w:rPr>
        <w:t xml:space="preserve">Natural Justice: Employees have the right to be heard before action is taken</w:t>
      </w:r>
    </w:p>
    <w:p>
      <w:pPr>
        <w:pStyle w:val="ListParagraph"/>
        <w:numPr>
          <w:ilvl w:val="0"/>
          <w:numId w:val="2"/>
        </w:numPr>
      </w:pPr>
      <w:r>
        <w:rPr>
          <w:rFonts w:ascii="Arial" w:cs="Arial" w:eastAsia="Arial" w:hAnsi="Arial"/>
          <w:color w:val="3A4A5A"/>
          <w:sz w:val="22"/>
          <w:szCs w:val="22"/>
        </w:rPr>
        <w:t xml:space="preserve">Proportionality: Discipline will be proportionate to the misconduct</w:t>
      </w:r>
    </w:p>
    <w:p>
      <w:pPr>
        <w:pStyle w:val="ListParagraph"/>
        <w:numPr>
          <w:ilvl w:val="0"/>
          <w:numId w:val="2"/>
        </w:numPr>
      </w:pPr>
      <w:r>
        <w:rPr>
          <w:rFonts w:ascii="Arial" w:cs="Arial" w:eastAsia="Arial" w:hAnsi="Arial"/>
          <w:color w:val="3A4A5A"/>
          <w:sz w:val="22"/>
          <w:szCs w:val="22"/>
        </w:rPr>
        <w:t xml:space="preserve">Documentation: All disciplinary action will be documented</w:t>
      </w:r>
    </w:p>
    <w:p>
      <w:pPr>
        <w:pStyle w:val="ListParagraph"/>
        <w:numPr>
          <w:ilvl w:val="0"/>
          <w:numId w:val="2"/>
        </w:numPr>
      </w:pPr>
      <w:r>
        <w:rPr>
          <w:rFonts w:ascii="Arial" w:cs="Arial" w:eastAsia="Arial" w:hAnsi="Arial"/>
          <w:color w:val="3A4A5A"/>
          <w:sz w:val="22"/>
          <w:szCs w:val="22"/>
        </w:rPr>
        <w:t xml:space="preserve">Transparency: Procedures will be clear and communicated in advance</w:t>
      </w:r>
    </w:p>
    <w:p>
      <w:pPr>
        <w:pStyle w:val="Heading3"/>
      </w:pPr>
      <w:r>
        <w:t xml:space="preserve">2.3 Scope of Misconduct</w:t>
      </w:r>
    </w:p>
    <w:p>
      <w:pPr>
        <w:spacing w:after="60" w:before="60"/>
      </w:pPr>
      <w:r>
        <w:rPr>
          <w:rFonts w:ascii="Arial" w:cs="Arial" w:eastAsia="Arial" w:hAnsi="Arial"/>
          <w:b w:val="false"/>
          <w:bCs w:val="false"/>
          <w:color w:val="3A4A5A"/>
          <w:sz w:val="22"/>
          <w:szCs w:val="22"/>
        </w:rPr>
        <w:t xml:space="preserve">Misconduct includes, but is not limited to:</w:t>
      </w:r>
    </w:p>
    <w:p>
      <w:pPr>
        <w:pStyle w:val="ListParagraph"/>
        <w:numPr>
          <w:ilvl w:val="0"/>
          <w:numId w:val="2"/>
        </w:numPr>
      </w:pPr>
      <w:r>
        <w:rPr>
          <w:rFonts w:ascii="Arial" w:cs="Arial" w:eastAsia="Arial" w:hAnsi="Arial"/>
          <w:color w:val="3A4A5A"/>
          <w:sz w:val="22"/>
          <w:szCs w:val="22"/>
        </w:rPr>
        <w:t xml:space="preserve">Insubordination or refusal to comply with lawful instructions</w:t>
      </w:r>
    </w:p>
    <w:p>
      <w:pPr>
        <w:pStyle w:val="ListParagraph"/>
        <w:numPr>
          <w:ilvl w:val="0"/>
          <w:numId w:val="2"/>
        </w:numPr>
      </w:pPr>
      <w:r>
        <w:rPr>
          <w:rFonts w:ascii="Arial" w:cs="Arial" w:eastAsia="Arial" w:hAnsi="Arial"/>
          <w:color w:val="3A4A5A"/>
          <w:sz w:val="22"/>
          <w:szCs w:val="22"/>
        </w:rPr>
        <w:t xml:space="preserve">Absenteeism or unauthorised absence</w:t>
      </w:r>
    </w:p>
    <w:p>
      <w:pPr>
        <w:pStyle w:val="ListParagraph"/>
        <w:numPr>
          <w:ilvl w:val="0"/>
          <w:numId w:val="2"/>
        </w:numPr>
      </w:pPr>
      <w:r>
        <w:rPr>
          <w:rFonts w:ascii="Arial" w:cs="Arial" w:eastAsia="Arial" w:hAnsi="Arial"/>
          <w:color w:val="3A4A5A"/>
          <w:sz w:val="22"/>
          <w:szCs w:val="22"/>
        </w:rPr>
        <w:t xml:space="preserve">Poor performance or failure to meet standards</w:t>
      </w:r>
    </w:p>
    <w:p>
      <w:pPr>
        <w:pStyle w:val="ListParagraph"/>
        <w:numPr>
          <w:ilvl w:val="0"/>
          <w:numId w:val="2"/>
        </w:numPr>
      </w:pPr>
      <w:r>
        <w:rPr>
          <w:rFonts w:ascii="Arial" w:cs="Arial" w:eastAsia="Arial" w:hAnsi="Arial"/>
          <w:color w:val="3A4A5A"/>
          <w:sz w:val="22"/>
          <w:szCs w:val="22"/>
        </w:rPr>
        <w:t xml:space="preserve">Dishonesty, theft, or fraud</w:t>
      </w:r>
    </w:p>
    <w:p>
      <w:pPr>
        <w:pStyle w:val="ListParagraph"/>
        <w:numPr>
          <w:ilvl w:val="0"/>
          <w:numId w:val="2"/>
        </w:numPr>
      </w:pPr>
      <w:r>
        <w:rPr>
          <w:rFonts w:ascii="Arial" w:cs="Arial" w:eastAsia="Arial" w:hAnsi="Arial"/>
          <w:color w:val="3A4A5A"/>
          <w:sz w:val="22"/>
          <w:szCs w:val="22"/>
        </w:rPr>
        <w:t xml:space="preserve">Breach of confidentiality or misuse of company information</w:t>
      </w:r>
    </w:p>
    <w:p>
      <w:pPr>
        <w:pStyle w:val="ListParagraph"/>
        <w:numPr>
          <w:ilvl w:val="0"/>
          <w:numId w:val="2"/>
        </w:numPr>
      </w:pPr>
      <w:r>
        <w:rPr>
          <w:rFonts w:ascii="Arial" w:cs="Arial" w:eastAsia="Arial" w:hAnsi="Arial"/>
          <w:color w:val="3A4A5A"/>
          <w:sz w:val="22"/>
          <w:szCs w:val="22"/>
        </w:rPr>
        <w:t xml:space="preserve">Violation of health and safety procedures</w:t>
      </w:r>
    </w:p>
    <w:p>
      <w:pPr>
        <w:pStyle w:val="ListParagraph"/>
        <w:numPr>
          <w:ilvl w:val="0"/>
          <w:numId w:val="2"/>
        </w:numPr>
      </w:pPr>
      <w:r>
        <w:rPr>
          <w:rFonts w:ascii="Arial" w:cs="Arial" w:eastAsia="Arial" w:hAnsi="Arial"/>
          <w:color w:val="3A4A5A"/>
          <w:sz w:val="22"/>
          <w:szCs w:val="22"/>
        </w:rPr>
        <w:t xml:space="preserve">Harassment, bullying, or discrimination</w:t>
      </w:r>
    </w:p>
    <w:p>
      <w:pPr>
        <w:pStyle w:val="ListParagraph"/>
        <w:numPr>
          <w:ilvl w:val="0"/>
          <w:numId w:val="2"/>
        </w:numPr>
      </w:pPr>
      <w:r>
        <w:rPr>
          <w:rFonts w:ascii="Arial" w:cs="Arial" w:eastAsia="Arial" w:hAnsi="Arial"/>
          <w:color w:val="3A4A5A"/>
          <w:sz w:val="22"/>
          <w:szCs w:val="22"/>
        </w:rPr>
        <w:t xml:space="preserve">Sexual harassment or creating a hostile work environment</w:t>
      </w:r>
    </w:p>
    <w:p>
      <w:pPr>
        <w:pStyle w:val="ListParagraph"/>
        <w:numPr>
          <w:ilvl w:val="0"/>
          <w:numId w:val="2"/>
        </w:numPr>
      </w:pPr>
      <w:r>
        <w:rPr>
          <w:rFonts w:ascii="Arial" w:cs="Arial" w:eastAsia="Arial" w:hAnsi="Arial"/>
          <w:color w:val="3A4A5A"/>
          <w:sz w:val="22"/>
          <w:szCs w:val="22"/>
        </w:rPr>
        <w:t xml:space="preserve">Use of company equipment or systems for personal gain</w:t>
      </w:r>
    </w:p>
    <w:p>
      <w:pPr>
        <w:pStyle w:val="ListParagraph"/>
        <w:numPr>
          <w:ilvl w:val="0"/>
          <w:numId w:val="2"/>
        </w:numPr>
      </w:pPr>
      <w:r>
        <w:rPr>
          <w:rFonts w:ascii="Arial" w:cs="Arial" w:eastAsia="Arial" w:hAnsi="Arial"/>
          <w:color w:val="3A4A5A"/>
          <w:sz w:val="22"/>
          <w:szCs w:val="22"/>
        </w:rPr>
        <w:t xml:space="preserve">Misconduct while representing the company</w:t>
      </w:r>
    </w:p>
    <w:p>
      <w:pPr>
        <w:pStyle w:val="Heading2"/>
      </w:pPr>
      <w:r>
        <w:t xml:space="preserve">3. Discipline Procedures</w:t>
      </w:r>
    </w:p>
    <w:p>
      <w:pPr>
        <w:pStyle w:val="Heading3"/>
      </w:pPr>
      <w:r>
        <w:t xml:space="preserve">3.1 Informal Warnings</w:t>
      </w:r>
    </w:p>
    <w:p>
      <w:pPr>
        <w:spacing w:after="60" w:before="60"/>
      </w:pPr>
      <w:r>
        <w:rPr>
          <w:rFonts w:ascii="Arial" w:cs="Arial" w:eastAsia="Arial" w:hAnsi="Arial"/>
          <w:b w:val="false"/>
          <w:bCs w:val="false"/>
          <w:color w:val="3A4A5A"/>
          <w:sz w:val="22"/>
          <w:szCs w:val="22"/>
        </w:rPr>
        <w:t xml:space="preserve">For minor misconduct, an informal warning may be given verbally. The employee will be:</w:t>
      </w:r>
    </w:p>
    <w:p>
      <w:pPr>
        <w:pStyle w:val="ListParagraph"/>
        <w:numPr>
          <w:ilvl w:val="0"/>
          <w:numId w:val="2"/>
        </w:numPr>
      </w:pPr>
      <w:r>
        <w:rPr>
          <w:rFonts w:ascii="Arial" w:cs="Arial" w:eastAsia="Arial" w:hAnsi="Arial"/>
          <w:color w:val="3A4A5A"/>
          <w:sz w:val="22"/>
          <w:szCs w:val="22"/>
        </w:rPr>
        <w:t xml:space="preserve">Informed of the unacceptable behaviour</w:t>
      </w:r>
    </w:p>
    <w:p>
      <w:pPr>
        <w:pStyle w:val="ListParagraph"/>
        <w:numPr>
          <w:ilvl w:val="0"/>
          <w:numId w:val="2"/>
        </w:numPr>
      </w:pPr>
      <w:r>
        <w:rPr>
          <w:rFonts w:ascii="Arial" w:cs="Arial" w:eastAsia="Arial" w:hAnsi="Arial"/>
          <w:color w:val="3A4A5A"/>
          <w:sz w:val="22"/>
          <w:szCs w:val="22"/>
        </w:rPr>
        <w:t xml:space="preserve">Given an opportunity to respond</w:t>
      </w:r>
    </w:p>
    <w:p>
      <w:pPr>
        <w:pStyle w:val="ListParagraph"/>
        <w:numPr>
          <w:ilvl w:val="0"/>
          <w:numId w:val="2"/>
        </w:numPr>
      </w:pPr>
      <w:r>
        <w:rPr>
          <w:rFonts w:ascii="Arial" w:cs="Arial" w:eastAsia="Arial" w:hAnsi="Arial"/>
          <w:color w:val="3A4A5A"/>
          <w:sz w:val="22"/>
          <w:szCs w:val="22"/>
        </w:rPr>
        <w:t xml:space="preserve">Advised of expectations going forward</w:t>
      </w:r>
    </w:p>
    <w:p>
      <w:pPr>
        <w:pStyle w:val="ListParagraph"/>
        <w:numPr>
          <w:ilvl w:val="0"/>
          <w:numId w:val="2"/>
        </w:numPr>
      </w:pPr>
      <w:r>
        <w:rPr>
          <w:rFonts w:ascii="Arial" w:cs="Arial" w:eastAsia="Arial" w:hAnsi="Arial"/>
          <w:color w:val="3A4A5A"/>
          <w:sz w:val="22"/>
          <w:szCs w:val="22"/>
        </w:rPr>
        <w:t xml:space="preserve">Told that continued misconduct will result in formal action</w:t>
      </w:r>
    </w:p>
    <w:p>
      <w:pPr>
        <w:pStyle w:val="Heading3"/>
      </w:pPr>
      <w:r>
        <w:t xml:space="preserve">3.2 Formal Disciplinary Hearings</w:t>
      </w:r>
    </w:p>
    <w:p>
      <w:pPr>
        <w:spacing w:after="60" w:before="60"/>
      </w:pPr>
      <w:r>
        <w:rPr>
          <w:rFonts w:ascii="Arial" w:cs="Arial" w:eastAsia="Arial" w:hAnsi="Arial"/>
          <w:b w:val="false"/>
          <w:bCs w:val="false"/>
          <w:color w:val="3A4A5A"/>
          <w:sz w:val="22"/>
          <w:szCs w:val="22"/>
        </w:rPr>
        <w:t xml:space="preserve">For more serious misconduct, a formal disciplinary hearing will be held. The employee will be:</w:t>
      </w:r>
    </w:p>
    <w:p>
      <w:pPr>
        <w:pStyle w:val="ListParagraph"/>
        <w:numPr>
          <w:ilvl w:val="0"/>
          <w:numId w:val="2"/>
        </w:numPr>
      </w:pPr>
      <w:r>
        <w:rPr>
          <w:rFonts w:ascii="Arial" w:cs="Arial" w:eastAsia="Arial" w:hAnsi="Arial"/>
          <w:color w:val="3A4A5A"/>
          <w:sz w:val="22"/>
          <w:szCs w:val="22"/>
        </w:rPr>
        <w:t xml:space="preserve">Notified in writing of the alleged misconduct with sufficient detail and notice</w:t>
      </w:r>
    </w:p>
    <w:p>
      <w:pPr>
        <w:pStyle w:val="ListParagraph"/>
        <w:numPr>
          <w:ilvl w:val="0"/>
          <w:numId w:val="2"/>
        </w:numPr>
      </w:pPr>
      <w:r>
        <w:rPr>
          <w:rFonts w:ascii="Arial" w:cs="Arial" w:eastAsia="Arial" w:hAnsi="Arial"/>
          <w:color w:val="3A4A5A"/>
          <w:sz w:val="22"/>
          <w:szCs w:val="22"/>
        </w:rPr>
        <w:t xml:space="preserve">Given the right to legal representation or union representation</w:t>
      </w:r>
    </w:p>
    <w:p>
      <w:pPr>
        <w:pStyle w:val="ListParagraph"/>
        <w:numPr>
          <w:ilvl w:val="0"/>
          <w:numId w:val="2"/>
        </w:numPr>
      </w:pPr>
      <w:r>
        <w:rPr>
          <w:rFonts w:ascii="Arial" w:cs="Arial" w:eastAsia="Arial" w:hAnsi="Arial"/>
          <w:color w:val="3A4A5A"/>
          <w:sz w:val="22"/>
          <w:szCs w:val="22"/>
        </w:rPr>
        <w:t xml:space="preserve">Provided with an opportunity to present their case</w:t>
      </w:r>
    </w:p>
    <w:p>
      <w:pPr>
        <w:pStyle w:val="ListParagraph"/>
        <w:numPr>
          <w:ilvl w:val="0"/>
          <w:numId w:val="2"/>
        </w:numPr>
      </w:pPr>
      <w:r>
        <w:rPr>
          <w:rFonts w:ascii="Arial" w:cs="Arial" w:eastAsia="Arial" w:hAnsi="Arial"/>
          <w:color w:val="3A4A5A"/>
          <w:sz w:val="22"/>
          <w:szCs w:val="22"/>
        </w:rPr>
        <w:t xml:space="preserve">Given access to evidence against them</w:t>
      </w:r>
    </w:p>
    <w:p>
      <w:pPr>
        <w:pStyle w:val="ListParagraph"/>
        <w:numPr>
          <w:ilvl w:val="0"/>
          <w:numId w:val="2"/>
        </w:numPr>
      </w:pPr>
      <w:r>
        <w:rPr>
          <w:rFonts w:ascii="Arial" w:cs="Arial" w:eastAsia="Arial" w:hAnsi="Arial"/>
          <w:color w:val="3A4A5A"/>
          <w:sz w:val="22"/>
          <w:szCs w:val="22"/>
        </w:rPr>
        <w:t xml:space="preserve">Allowed to cross-examine witnesses</w:t>
      </w:r>
    </w:p>
    <w:p>
      <w:pPr>
        <w:spacing w:after="60" w:before="60"/>
      </w:pPr>
      <w:r>
        <w:rPr>
          <w:rFonts w:ascii="Arial" w:cs="Arial" w:eastAsia="Arial" w:hAnsi="Arial"/>
          <w:b w:val="false"/>
          <w:bCs w:val="false"/>
          <w:color w:val="3A4A5A"/>
          <w:sz w:val="22"/>
          <w:szCs w:val="22"/>
        </w:rPr>
        <w:t xml:space="preserve">A disciplinary hearing will be conducted by a senior manager or an independent disciplinarian, documented in writing, and a decision communicated in writing to the employee.</w:t>
      </w:r>
    </w:p>
    <w:p>
      <w:pPr>
        <w:pStyle w:val="Heading3"/>
      </w:pPr>
      <w:r>
        <w:t xml:space="preserve">3.3 Disciplinary Outcomes</w:t>
      </w:r>
    </w:p>
    <w:p>
      <w:pPr>
        <w:spacing w:after="60" w:before="60"/>
      </w:pPr>
      <w:r>
        <w:rPr>
          <w:rFonts w:ascii="Arial" w:cs="Arial" w:eastAsia="Arial" w:hAnsi="Arial"/>
          <w:b w:val="false"/>
          <w:bCs w:val="false"/>
          <w:color w:val="3A4A5A"/>
          <w:sz w:val="22"/>
          <w:szCs w:val="22"/>
        </w:rPr>
        <w:t xml:space="preserve">Depending on the nature and severity of misconduct, disciplinary outcomes may include:</w:t>
      </w:r>
    </w:p>
    <w:p>
      <w:pPr>
        <w:pStyle w:val="ListParagraph"/>
        <w:numPr>
          <w:ilvl w:val="0"/>
          <w:numId w:val="2"/>
        </w:numPr>
      </w:pPr>
      <w:r>
        <w:rPr>
          <w:rFonts w:ascii="Arial" w:cs="Arial" w:eastAsia="Arial" w:hAnsi="Arial"/>
          <w:color w:val="3A4A5A"/>
          <w:sz w:val="22"/>
          <w:szCs w:val="22"/>
        </w:rPr>
        <w:t xml:space="preserve">Verbal or written warning</w:t>
      </w:r>
    </w:p>
    <w:p>
      <w:pPr>
        <w:pStyle w:val="ListParagraph"/>
        <w:numPr>
          <w:ilvl w:val="0"/>
          <w:numId w:val="2"/>
        </w:numPr>
      </w:pPr>
      <w:r>
        <w:rPr>
          <w:rFonts w:ascii="Arial" w:cs="Arial" w:eastAsia="Arial" w:hAnsi="Arial"/>
          <w:color w:val="3A4A5A"/>
          <w:sz w:val="22"/>
          <w:szCs w:val="22"/>
        </w:rPr>
        <w:t xml:space="preserve">Suspension (with or without pay)</w:t>
      </w:r>
    </w:p>
    <w:p>
      <w:pPr>
        <w:pStyle w:val="ListParagraph"/>
        <w:numPr>
          <w:ilvl w:val="0"/>
          <w:numId w:val="2"/>
        </w:numPr>
      </w:pPr>
      <w:r>
        <w:rPr>
          <w:rFonts w:ascii="Arial" w:cs="Arial" w:eastAsia="Arial" w:hAnsi="Arial"/>
          <w:color w:val="3A4A5A"/>
          <w:sz w:val="22"/>
          <w:szCs w:val="22"/>
        </w:rPr>
        <w:t xml:space="preserve">Fine or salary deduction (where legally permissible)</w:t>
      </w:r>
    </w:p>
    <w:p>
      <w:pPr>
        <w:pStyle w:val="ListParagraph"/>
        <w:numPr>
          <w:ilvl w:val="0"/>
          <w:numId w:val="2"/>
        </w:numPr>
      </w:pPr>
      <w:r>
        <w:rPr>
          <w:rFonts w:ascii="Arial" w:cs="Arial" w:eastAsia="Arial" w:hAnsi="Arial"/>
          <w:color w:val="3A4A5A"/>
          <w:sz w:val="22"/>
          <w:szCs w:val="22"/>
        </w:rPr>
        <w:t xml:space="preserve">Demotion or transfer</w:t>
      </w:r>
    </w:p>
    <w:p>
      <w:pPr>
        <w:pStyle w:val="ListParagraph"/>
        <w:numPr>
          <w:ilvl w:val="0"/>
          <w:numId w:val="2"/>
        </w:numPr>
      </w:pPr>
      <w:r>
        <w:rPr>
          <w:rFonts w:ascii="Arial" w:cs="Arial" w:eastAsia="Arial" w:hAnsi="Arial"/>
          <w:color w:val="3A4A5A"/>
          <w:sz w:val="22"/>
          <w:szCs w:val="22"/>
        </w:rPr>
        <w:t xml:space="preserve">Dismissal</w:t>
      </w:r>
    </w:p>
    <w:p>
      <w:pPr>
        <w:pStyle w:val="Heading3"/>
      </w:pPr>
      <w:r>
        <w:t xml:space="preserve">3.4 Right of Appeal</w:t>
      </w:r>
    </w:p>
    <w:p>
      <w:pPr>
        <w:spacing w:after="60" w:before="60"/>
      </w:pPr>
      <w:r>
        <w:rPr>
          <w:rFonts w:ascii="Arial" w:cs="Arial" w:eastAsia="Arial" w:hAnsi="Arial"/>
          <w:b w:val="false"/>
          <w:bCs w:val="false"/>
          <w:color w:val="3A4A5A"/>
          <w:sz w:val="22"/>
          <w:szCs w:val="22"/>
        </w:rPr>
        <w:t xml:space="preserve">An employee may appeal any disciplinary decision within 10 working days. Appeals will be heard by a senior manager not previously involved in the matter.</w:t>
      </w:r>
    </w:p>
    <w:p>
      <w:pPr>
        <w:pStyle w:val="Heading2"/>
      </w:pPr>
      <w:r>
        <w:t xml:space="preserve">4. Grievance Policy</w:t>
      </w:r>
    </w:p>
    <w:p>
      <w:pPr>
        <w:pStyle w:val="Heading3"/>
      </w:pPr>
      <w:r>
        <w:t xml:space="preserve">4.1 Objective</w:t>
      </w:r>
    </w:p>
    <w:p>
      <w:pPr>
        <w:spacing w:after="60" w:before="60"/>
      </w:pPr>
      <w:r>
        <w:rPr>
          <w:rFonts w:ascii="Arial" w:cs="Arial" w:eastAsia="Arial" w:hAnsi="Arial"/>
          <w:b w:val="false"/>
          <w:bCs w:val="false"/>
          <w:color w:val="3A4A5A"/>
          <w:sz w:val="22"/>
          <w:szCs w:val="22"/>
        </w:rPr>
        <w:t xml:space="preserve">The objective of this grievance policy is to:</w:t>
      </w:r>
    </w:p>
    <w:p>
      <w:pPr>
        <w:pStyle w:val="ListParagraph"/>
        <w:numPr>
          <w:ilvl w:val="0"/>
          <w:numId w:val="2"/>
        </w:numPr>
      </w:pPr>
      <w:r>
        <w:rPr>
          <w:rFonts w:ascii="Arial" w:cs="Arial" w:eastAsia="Arial" w:hAnsi="Arial"/>
          <w:color w:val="3A4A5A"/>
          <w:sz w:val="22"/>
          <w:szCs w:val="22"/>
        </w:rPr>
        <w:t xml:space="preserve">Provide employees with a fair and accessible process to raise concerns</w:t>
      </w:r>
    </w:p>
    <w:p>
      <w:pPr>
        <w:pStyle w:val="ListParagraph"/>
        <w:numPr>
          <w:ilvl w:val="0"/>
          <w:numId w:val="2"/>
        </w:numPr>
      </w:pPr>
      <w:r>
        <w:rPr>
          <w:rFonts w:ascii="Arial" w:cs="Arial" w:eastAsia="Arial" w:hAnsi="Arial"/>
          <w:color w:val="3A4A5A"/>
          <w:sz w:val="22"/>
          <w:szCs w:val="22"/>
        </w:rPr>
        <w:t xml:space="preserve">Resolve workplace issues promptly and fairly</w:t>
      </w:r>
    </w:p>
    <w:p>
      <w:pPr>
        <w:pStyle w:val="ListParagraph"/>
        <w:numPr>
          <w:ilvl w:val="0"/>
          <w:numId w:val="2"/>
        </w:numPr>
      </w:pPr>
      <w:r>
        <w:rPr>
          <w:rFonts w:ascii="Arial" w:cs="Arial" w:eastAsia="Arial" w:hAnsi="Arial"/>
          <w:color w:val="3A4A5A"/>
          <w:sz w:val="22"/>
          <w:szCs w:val="22"/>
        </w:rPr>
        <w:t xml:space="preserve">Maintain positive working relationships</w:t>
      </w:r>
    </w:p>
    <w:p>
      <w:pPr>
        <w:pStyle w:val="ListParagraph"/>
        <w:numPr>
          <w:ilvl w:val="0"/>
          <w:numId w:val="2"/>
        </w:numPr>
      </w:pPr>
      <w:r>
        <w:rPr>
          <w:rFonts w:ascii="Arial" w:cs="Arial" w:eastAsia="Arial" w:hAnsi="Arial"/>
          <w:color w:val="3A4A5A"/>
          <w:sz w:val="22"/>
          <w:szCs w:val="22"/>
        </w:rPr>
        <w:t xml:space="preserve">Prevent unresolved issues from escalating</w:t>
      </w:r>
    </w:p>
    <w:p>
      <w:pPr>
        <w:pStyle w:val="Heading3"/>
      </w:pPr>
      <w:r>
        <w:t xml:space="preserve">4.2 Scope of Grievances</w:t>
      </w:r>
    </w:p>
    <w:p>
      <w:pPr>
        <w:spacing w:after="60" w:before="60"/>
      </w:pPr>
      <w:r>
        <w:rPr>
          <w:rFonts w:ascii="Arial" w:cs="Arial" w:eastAsia="Arial" w:hAnsi="Arial"/>
          <w:b w:val="false"/>
          <w:bCs w:val="false"/>
          <w:color w:val="3A4A5A"/>
          <w:sz w:val="22"/>
          <w:szCs w:val="22"/>
        </w:rPr>
        <w:t xml:space="preserve">A grievance is a complaint by an employee relating to their employment, including:</w:t>
      </w:r>
    </w:p>
    <w:p>
      <w:pPr>
        <w:pStyle w:val="ListParagraph"/>
        <w:numPr>
          <w:ilvl w:val="0"/>
          <w:numId w:val="2"/>
        </w:numPr>
      </w:pPr>
      <w:r>
        <w:rPr>
          <w:rFonts w:ascii="Arial" w:cs="Arial" w:eastAsia="Arial" w:hAnsi="Arial"/>
          <w:color w:val="3A4A5A"/>
          <w:sz w:val="22"/>
          <w:szCs w:val="22"/>
        </w:rPr>
        <w:t xml:space="preserve">Alleged unfair treatment or management decisions</w:t>
      </w:r>
    </w:p>
    <w:p>
      <w:pPr>
        <w:pStyle w:val="ListParagraph"/>
        <w:numPr>
          <w:ilvl w:val="0"/>
          <w:numId w:val="2"/>
        </w:numPr>
      </w:pPr>
      <w:r>
        <w:rPr>
          <w:rFonts w:ascii="Arial" w:cs="Arial" w:eastAsia="Arial" w:hAnsi="Arial"/>
          <w:color w:val="3A4A5A"/>
          <w:sz w:val="22"/>
          <w:szCs w:val="22"/>
        </w:rPr>
        <w:t xml:space="preserve">Non-compliance with policies or procedures</w:t>
      </w:r>
    </w:p>
    <w:p>
      <w:pPr>
        <w:pStyle w:val="ListParagraph"/>
        <w:numPr>
          <w:ilvl w:val="0"/>
          <w:numId w:val="2"/>
        </w:numPr>
      </w:pPr>
      <w:r>
        <w:rPr>
          <w:rFonts w:ascii="Arial" w:cs="Arial" w:eastAsia="Arial" w:hAnsi="Arial"/>
          <w:color w:val="3A4A5A"/>
          <w:sz w:val="22"/>
          <w:szCs w:val="22"/>
        </w:rPr>
        <w:t xml:space="preserve">Breach of contract or terms and conditions</w:t>
      </w:r>
    </w:p>
    <w:p>
      <w:pPr>
        <w:pStyle w:val="ListParagraph"/>
        <w:numPr>
          <w:ilvl w:val="0"/>
          <w:numId w:val="2"/>
        </w:numPr>
      </w:pPr>
      <w:r>
        <w:rPr>
          <w:rFonts w:ascii="Arial" w:cs="Arial" w:eastAsia="Arial" w:hAnsi="Arial"/>
          <w:color w:val="3A4A5A"/>
          <w:sz w:val="22"/>
          <w:szCs w:val="22"/>
        </w:rPr>
        <w:t xml:space="preserve">Harassment or discrimination</w:t>
      </w:r>
    </w:p>
    <w:p>
      <w:pPr>
        <w:pStyle w:val="ListParagraph"/>
        <w:numPr>
          <w:ilvl w:val="0"/>
          <w:numId w:val="2"/>
        </w:numPr>
      </w:pPr>
      <w:r>
        <w:rPr>
          <w:rFonts w:ascii="Arial" w:cs="Arial" w:eastAsia="Arial" w:hAnsi="Arial"/>
          <w:color w:val="3A4A5A"/>
          <w:sz w:val="22"/>
          <w:szCs w:val="22"/>
        </w:rPr>
        <w:t xml:space="preserve">Health and safety concerns</w:t>
      </w:r>
    </w:p>
    <w:p>
      <w:pPr>
        <w:pStyle w:val="ListParagraph"/>
        <w:numPr>
          <w:ilvl w:val="0"/>
          <w:numId w:val="2"/>
        </w:numPr>
      </w:pPr>
      <w:r>
        <w:rPr>
          <w:rFonts w:ascii="Arial" w:cs="Arial" w:eastAsia="Arial" w:hAnsi="Arial"/>
          <w:color w:val="3A4A5A"/>
          <w:sz w:val="22"/>
          <w:szCs w:val="22"/>
        </w:rPr>
        <w:t xml:space="preserve">Pay or benefits issues</w:t>
      </w:r>
    </w:p>
    <w:p>
      <w:pPr>
        <w:pStyle w:val="ListParagraph"/>
        <w:numPr>
          <w:ilvl w:val="0"/>
          <w:numId w:val="2"/>
        </w:numPr>
      </w:pPr>
      <w:r>
        <w:rPr>
          <w:rFonts w:ascii="Arial" w:cs="Arial" w:eastAsia="Arial" w:hAnsi="Arial"/>
          <w:color w:val="3A4A5A"/>
          <w:sz w:val="22"/>
          <w:szCs w:val="22"/>
        </w:rPr>
        <w:t xml:space="preserve">Workplace conflicts or tensions</w:t>
      </w:r>
    </w:p>
    <w:p>
      <w:pPr>
        <w:pStyle w:val="Heading2"/>
      </w:pPr>
      <w:r>
        <w:t xml:space="preserve">5. Grievance Procedures</w:t>
      </w:r>
    </w:p>
    <w:p>
      <w:pPr>
        <w:pStyle w:val="Heading3"/>
      </w:pPr>
      <w:r>
        <w:t xml:space="preserve">5.1 Informal Resolution</w:t>
      </w:r>
    </w:p>
    <w:p>
      <w:pPr>
        <w:spacing w:after="60" w:before="60"/>
      </w:pPr>
      <w:r>
        <w:rPr>
          <w:rFonts w:ascii="Arial" w:cs="Arial" w:eastAsia="Arial" w:hAnsi="Arial"/>
          <w:b w:val="false"/>
          <w:bCs w:val="false"/>
          <w:color w:val="3A4A5A"/>
          <w:sz w:val="22"/>
          <w:szCs w:val="22"/>
        </w:rPr>
        <w:t xml:space="preserve">Employees are encouraged to attempt informal resolution first by:</w:t>
      </w:r>
    </w:p>
    <w:p>
      <w:pPr>
        <w:pStyle w:val="ListParagraph"/>
        <w:numPr>
          <w:ilvl w:val="0"/>
          <w:numId w:val="2"/>
        </w:numPr>
      </w:pPr>
      <w:r>
        <w:rPr>
          <w:rFonts w:ascii="Arial" w:cs="Arial" w:eastAsia="Arial" w:hAnsi="Arial"/>
          <w:color w:val="3A4A5A"/>
          <w:sz w:val="22"/>
          <w:szCs w:val="22"/>
        </w:rPr>
        <w:t xml:space="preserve">Speaking directly with their manager or supervisor</w:t>
      </w:r>
    </w:p>
    <w:p>
      <w:pPr>
        <w:pStyle w:val="ListParagraph"/>
        <w:numPr>
          <w:ilvl w:val="0"/>
          <w:numId w:val="2"/>
        </w:numPr>
      </w:pPr>
      <w:r>
        <w:rPr>
          <w:rFonts w:ascii="Arial" w:cs="Arial" w:eastAsia="Arial" w:hAnsi="Arial"/>
          <w:color w:val="3A4A5A"/>
          <w:sz w:val="22"/>
          <w:szCs w:val="22"/>
        </w:rPr>
        <w:t xml:space="preserve">Seeking assistance from Human Resources</w:t>
      </w:r>
    </w:p>
    <w:p>
      <w:pPr>
        <w:pStyle w:val="ListParagraph"/>
        <w:numPr>
          <w:ilvl w:val="0"/>
          <w:numId w:val="2"/>
        </w:numPr>
      </w:pPr>
      <w:r>
        <w:rPr>
          <w:rFonts w:ascii="Arial" w:cs="Arial" w:eastAsia="Arial" w:hAnsi="Arial"/>
          <w:color w:val="3A4A5A"/>
          <w:sz w:val="22"/>
          <w:szCs w:val="22"/>
        </w:rPr>
        <w:t xml:space="preserve">Using mediation or conflict resolution services</w:t>
      </w:r>
    </w:p>
    <w:p>
      <w:pPr>
        <w:spacing w:after="60" w:before="60"/>
      </w:pPr>
      <w:r>
        <w:rPr>
          <w:rFonts w:ascii="Arial" w:cs="Arial" w:eastAsia="Arial" w:hAnsi="Arial"/>
          <w:b w:val="false"/>
          <w:bCs w:val="false"/>
          <w:color w:val="3A4A5A"/>
          <w:sz w:val="22"/>
          <w:szCs w:val="22"/>
        </w:rPr>
        <w:t xml:space="preserve">Many workplace issues can be resolved informally without formal proceedings.</w:t>
      </w:r>
    </w:p>
    <w:p>
      <w:pPr>
        <w:pStyle w:val="Heading3"/>
      </w:pPr>
      <w:r>
        <w:t xml:space="preserve">5.2 Formal Grievance Process</w:t>
      </w:r>
    </w:p>
    <w:p>
      <w:pPr>
        <w:spacing w:after="60" w:before="60"/>
      </w:pPr>
      <w:r>
        <w:rPr>
          <w:rFonts w:ascii="Arial" w:cs="Arial" w:eastAsia="Arial" w:hAnsi="Arial"/>
          <w:b w:val="false"/>
          <w:bCs w:val="false"/>
          <w:color w:val="3A4A5A"/>
          <w:sz w:val="22"/>
          <w:szCs w:val="22"/>
        </w:rPr>
        <w:t xml:space="preserve">If informal resolution is not possible or unsuccessful, an employee may lodge a formal grievance by:</w:t>
      </w:r>
    </w:p>
    <w:p>
      <w:pPr>
        <w:pStyle w:val="ListParagraph"/>
        <w:numPr>
          <w:ilvl w:val="0"/>
          <w:numId w:val="2"/>
        </w:numPr>
      </w:pPr>
      <w:r>
        <w:rPr>
          <w:rFonts w:ascii="Arial" w:cs="Arial" w:eastAsia="Arial" w:hAnsi="Arial"/>
          <w:color w:val="3A4A5A"/>
          <w:sz w:val="22"/>
          <w:szCs w:val="22"/>
        </w:rPr>
        <w:t xml:space="preserve">Submitting a written grievance to Human Resources or their manager within 30 days of the issue arising</w:t>
      </w:r>
    </w:p>
    <w:p>
      <w:pPr>
        <w:pStyle w:val="ListParagraph"/>
        <w:numPr>
          <w:ilvl w:val="0"/>
          <w:numId w:val="2"/>
        </w:numPr>
      </w:pPr>
      <w:r>
        <w:rPr>
          <w:rFonts w:ascii="Arial" w:cs="Arial" w:eastAsia="Arial" w:hAnsi="Arial"/>
          <w:color w:val="3A4A5A"/>
          <w:sz w:val="22"/>
          <w:szCs w:val="22"/>
        </w:rPr>
        <w:t xml:space="preserve">Detailing the nature of the grievance, relevant facts, and desired outcome</w:t>
      </w:r>
    </w:p>
    <w:p>
      <w:pPr>
        <w:pStyle w:val="ListParagraph"/>
        <w:numPr>
          <w:ilvl w:val="0"/>
          <w:numId w:val="2"/>
        </w:numPr>
      </w:pPr>
      <w:r>
        <w:rPr>
          <w:rFonts w:ascii="Arial" w:cs="Arial" w:eastAsia="Arial" w:hAnsi="Arial"/>
          <w:color w:val="3A4A5A"/>
          <w:sz w:val="22"/>
          <w:szCs w:val="22"/>
        </w:rPr>
        <w:t xml:space="preserve">Providing supporting documentation where available</w:t>
      </w:r>
    </w:p>
    <w:p>
      <w:pPr>
        <w:pStyle w:val="Heading3"/>
      </w:pPr>
      <w:r>
        <w:t xml:space="preserve">5.3 Grievance Investigation and Hearing</w:t>
      </w:r>
    </w:p>
    <w:p>
      <w:pPr>
        <w:spacing w:after="60" w:before="60"/>
      </w:pPr>
      <w:r>
        <w:rPr>
          <w:rFonts w:ascii="Arial" w:cs="Arial" w:eastAsia="Arial" w:hAnsi="Arial"/>
          <w:b w:val="false"/>
          <w:bCs w:val="false"/>
          <w:color w:val="3A4A5A"/>
          <w:sz w:val="22"/>
          <w:szCs w:val="22"/>
        </w:rPr>
        <w:t xml:space="preserve">Upon receipt of a formal grievance, Human Resources will:</w:t>
      </w:r>
    </w:p>
    <w:p>
      <w:pPr>
        <w:pStyle w:val="ListParagraph"/>
        <w:numPr>
          <w:ilvl w:val="0"/>
          <w:numId w:val="2"/>
        </w:numPr>
      </w:pPr>
      <w:r>
        <w:rPr>
          <w:rFonts w:ascii="Arial" w:cs="Arial" w:eastAsia="Arial" w:hAnsi="Arial"/>
          <w:color w:val="3A4A5A"/>
          <w:sz w:val="22"/>
          <w:szCs w:val="22"/>
        </w:rPr>
        <w:t xml:space="preserve">Acknowledge receipt within 5 working days</w:t>
      </w:r>
    </w:p>
    <w:p>
      <w:pPr>
        <w:pStyle w:val="ListParagraph"/>
        <w:numPr>
          <w:ilvl w:val="0"/>
          <w:numId w:val="2"/>
        </w:numPr>
      </w:pPr>
      <w:r>
        <w:rPr>
          <w:rFonts w:ascii="Arial" w:cs="Arial" w:eastAsia="Arial" w:hAnsi="Arial"/>
          <w:color w:val="3A4A5A"/>
          <w:sz w:val="22"/>
          <w:szCs w:val="22"/>
        </w:rPr>
        <w:t xml:space="preserve">Conduct a fair and impartial investigation</w:t>
      </w:r>
    </w:p>
    <w:p>
      <w:pPr>
        <w:pStyle w:val="ListParagraph"/>
        <w:numPr>
          <w:ilvl w:val="0"/>
          <w:numId w:val="2"/>
        </w:numPr>
      </w:pPr>
      <w:r>
        <w:rPr>
          <w:rFonts w:ascii="Arial" w:cs="Arial" w:eastAsia="Arial" w:hAnsi="Arial"/>
          <w:color w:val="3A4A5A"/>
          <w:sz w:val="22"/>
          <w:szCs w:val="22"/>
        </w:rPr>
        <w:t xml:space="preserve">Meet with the aggrieved employee to gather information</w:t>
      </w:r>
    </w:p>
    <w:p>
      <w:pPr>
        <w:pStyle w:val="ListParagraph"/>
        <w:numPr>
          <w:ilvl w:val="0"/>
          <w:numId w:val="2"/>
        </w:numPr>
      </w:pPr>
      <w:r>
        <w:rPr>
          <w:rFonts w:ascii="Arial" w:cs="Arial" w:eastAsia="Arial" w:hAnsi="Arial"/>
          <w:color w:val="3A4A5A"/>
          <w:sz w:val="22"/>
          <w:szCs w:val="22"/>
        </w:rPr>
        <w:t xml:space="preserve">Meet with the respondent to hear their side</w:t>
      </w:r>
    </w:p>
    <w:p>
      <w:pPr>
        <w:pStyle w:val="ListParagraph"/>
        <w:numPr>
          <w:ilvl w:val="0"/>
          <w:numId w:val="2"/>
        </w:numPr>
      </w:pPr>
      <w:r>
        <w:rPr>
          <w:rFonts w:ascii="Arial" w:cs="Arial" w:eastAsia="Arial" w:hAnsi="Arial"/>
          <w:color w:val="3A4A5A"/>
          <w:sz w:val="22"/>
          <w:szCs w:val="22"/>
        </w:rPr>
        <w:t xml:space="preserve">Interview relevant witnesses</w:t>
      </w:r>
    </w:p>
    <w:p>
      <w:pPr>
        <w:pStyle w:val="ListParagraph"/>
        <w:numPr>
          <w:ilvl w:val="0"/>
          <w:numId w:val="2"/>
        </w:numPr>
      </w:pPr>
      <w:r>
        <w:rPr>
          <w:rFonts w:ascii="Arial" w:cs="Arial" w:eastAsia="Arial" w:hAnsi="Arial"/>
          <w:color w:val="3A4A5A"/>
          <w:sz w:val="22"/>
          <w:szCs w:val="22"/>
        </w:rPr>
        <w:t xml:space="preserve">Review all evidence and documentation</w:t>
      </w:r>
    </w:p>
    <w:p>
      <w:pPr>
        <w:pStyle w:val="Heading3"/>
      </w:pPr>
      <w:r>
        <w:t xml:space="preserve">5.4 Grievance Resolution</w:t>
      </w:r>
    </w:p>
    <w:p>
      <w:pPr>
        <w:spacing w:after="60" w:before="60"/>
      </w:pPr>
      <w:r>
        <w:rPr>
          <w:rFonts w:ascii="Arial" w:cs="Arial" w:eastAsia="Arial" w:hAnsi="Arial"/>
          <w:b w:val="false"/>
          <w:bCs w:val="false"/>
          <w:color w:val="3A4A5A"/>
          <w:sz w:val="22"/>
          <w:szCs w:val="22"/>
        </w:rPr>
        <w:t xml:space="preserve">Human Resources will attempt to resolve the grievance through conciliation, negotiation, or mediation. If resolution is not achieved, the matter may be escalated to formal arbitration or referred to the CCMA.</w:t>
      </w:r>
    </w:p>
    <w:p>
      <w:pPr>
        <w:pStyle w:val="Heading3"/>
      </w:pPr>
      <w:r>
        <w:t xml:space="preserve">5.5 Timeline</w:t>
      </w:r>
    </w:p>
    <w:p>
      <w:pPr>
        <w:spacing w:after="60" w:before="60"/>
      </w:pPr>
      <w:r>
        <w:rPr>
          <w:rFonts w:ascii="Arial" w:cs="Arial" w:eastAsia="Arial" w:hAnsi="Arial"/>
          <w:b w:val="false"/>
          <w:bCs w:val="false"/>
          <w:color w:val="3A4A5A"/>
          <w:sz w:val="22"/>
          <w:szCs w:val="22"/>
        </w:rPr>
        <w:t xml:space="preserve">Formal grievances will be addressed within 30 days where possible. Complex matters may require extension, which will be communicated to the employee.</w:t>
      </w:r>
    </w:p>
    <w:p>
      <w:pPr>
        <w:pStyle w:val="Heading2"/>
      </w:pPr>
      <w:r>
        <w:t xml:space="preserve">6. Trade Union Rights</w:t>
      </w:r>
    </w:p>
    <w:p>
      <w:pPr>
        <w:spacing w:after="60" w:before="60"/>
      </w:pPr>
      <w:r>
        <w:rPr>
          <w:rFonts w:ascii="Arial" w:cs="Arial" w:eastAsia="Arial" w:hAnsi="Arial"/>
          <w:b w:val="false"/>
          <w:bCs w:val="false"/>
          <w:color w:val="3A4A5A"/>
          <w:sz w:val="22"/>
          <w:szCs w:val="22"/>
        </w:rPr>
        <w:t xml:space="preserve">Jera Consulting recognises the rights of employees to:</w:t>
      </w:r>
    </w:p>
    <w:p>
      <w:pPr>
        <w:pStyle w:val="ListParagraph"/>
        <w:numPr>
          <w:ilvl w:val="0"/>
          <w:numId w:val="2"/>
        </w:numPr>
      </w:pPr>
      <w:r>
        <w:rPr>
          <w:rFonts w:ascii="Arial" w:cs="Arial" w:eastAsia="Arial" w:hAnsi="Arial"/>
          <w:color w:val="3A4A5A"/>
          <w:sz w:val="22"/>
          <w:szCs w:val="22"/>
        </w:rPr>
        <w:t xml:space="preserve">Form or join a trade union or employee organisation</w:t>
      </w:r>
    </w:p>
    <w:p>
      <w:pPr>
        <w:pStyle w:val="ListParagraph"/>
        <w:numPr>
          <w:ilvl w:val="0"/>
          <w:numId w:val="2"/>
        </w:numPr>
      </w:pPr>
      <w:r>
        <w:rPr>
          <w:rFonts w:ascii="Arial" w:cs="Arial" w:eastAsia="Arial" w:hAnsi="Arial"/>
          <w:color w:val="3A4A5A"/>
          <w:sz w:val="22"/>
          <w:szCs w:val="22"/>
        </w:rPr>
        <w:t xml:space="preserve">Participate in lawful union activities</w:t>
      </w:r>
    </w:p>
    <w:p>
      <w:pPr>
        <w:pStyle w:val="ListParagraph"/>
        <w:numPr>
          <w:ilvl w:val="0"/>
          <w:numId w:val="2"/>
        </w:numPr>
      </w:pPr>
      <w:r>
        <w:rPr>
          <w:rFonts w:ascii="Arial" w:cs="Arial" w:eastAsia="Arial" w:hAnsi="Arial"/>
          <w:color w:val="3A4A5A"/>
          <w:sz w:val="22"/>
          <w:szCs w:val="22"/>
        </w:rPr>
        <w:t xml:space="preserve">Be represented by a union in disciplinary and grievance proceedings</w:t>
      </w:r>
    </w:p>
    <w:p>
      <w:pPr>
        <w:pStyle w:val="ListParagraph"/>
        <w:numPr>
          <w:ilvl w:val="0"/>
          <w:numId w:val="2"/>
        </w:numPr>
      </w:pPr>
      <w:r>
        <w:rPr>
          <w:rFonts w:ascii="Arial" w:cs="Arial" w:eastAsia="Arial" w:hAnsi="Arial"/>
          <w:color w:val="3A4A5A"/>
          <w:sz w:val="22"/>
          <w:szCs w:val="22"/>
        </w:rPr>
        <w:t xml:space="preserve">Strike for lawful purposes in accordance with the Labour Relations Act</w:t>
      </w:r>
    </w:p>
    <w:p>
      <w:pPr>
        <w:spacing w:after="60" w:before="60"/>
      </w:pPr>
      <w:r>
        <w:rPr>
          <w:rFonts w:ascii="Arial" w:cs="Arial" w:eastAsia="Arial" w:hAnsi="Arial"/>
          <w:b w:val="false"/>
          <w:bCs w:val="false"/>
          <w:color w:val="3A4A5A"/>
          <w:sz w:val="22"/>
          <w:szCs w:val="22"/>
        </w:rPr>
        <w:t xml:space="preserve">The company will not discriminate against or victimise employees for exercising these rights.</w:t>
      </w:r>
    </w:p>
    <w:p>
      <w:pPr>
        <w:pStyle w:val="Heading2"/>
      </w:pPr>
      <w:r>
        <w:t xml:space="preserve">7. Consultation and Communication</w:t>
      </w:r>
    </w:p>
    <w:p>
      <w:pPr>
        <w:spacing w:after="60" w:before="60"/>
      </w:pPr>
      <w:r>
        <w:rPr>
          <w:rFonts w:ascii="Arial" w:cs="Arial" w:eastAsia="Arial" w:hAnsi="Arial"/>
          <w:b w:val="false"/>
          <w:bCs w:val="false"/>
          <w:color w:val="3A4A5A"/>
          <w:sz w:val="22"/>
          <w:szCs w:val="22"/>
        </w:rPr>
        <w:t xml:space="preserve">The company is committed to:</w:t>
      </w:r>
    </w:p>
    <w:p>
      <w:pPr>
        <w:pStyle w:val="ListParagraph"/>
        <w:numPr>
          <w:ilvl w:val="0"/>
          <w:numId w:val="2"/>
        </w:numPr>
      </w:pPr>
      <w:r>
        <w:rPr>
          <w:rFonts w:ascii="Arial" w:cs="Arial" w:eastAsia="Arial" w:hAnsi="Arial"/>
          <w:color w:val="3A4A5A"/>
          <w:sz w:val="22"/>
          <w:szCs w:val="22"/>
        </w:rPr>
        <w:t xml:space="preserve">Regular communication with employees on matters affecting their employment</w:t>
      </w:r>
    </w:p>
    <w:p>
      <w:pPr>
        <w:pStyle w:val="ListParagraph"/>
        <w:numPr>
          <w:ilvl w:val="0"/>
          <w:numId w:val="2"/>
        </w:numPr>
      </w:pPr>
      <w:r>
        <w:rPr>
          <w:rFonts w:ascii="Arial" w:cs="Arial" w:eastAsia="Arial" w:hAnsi="Arial"/>
          <w:color w:val="3A4A5A"/>
          <w:sz w:val="22"/>
          <w:szCs w:val="22"/>
        </w:rPr>
        <w:t xml:space="preserve">Consulting with employee representatives on significant workplace changes</w:t>
      </w:r>
    </w:p>
    <w:p>
      <w:pPr>
        <w:pStyle w:val="ListParagraph"/>
        <w:numPr>
          <w:ilvl w:val="0"/>
          <w:numId w:val="2"/>
        </w:numPr>
      </w:pPr>
      <w:r>
        <w:rPr>
          <w:rFonts w:ascii="Arial" w:cs="Arial" w:eastAsia="Arial" w:hAnsi="Arial"/>
          <w:color w:val="3A4A5A"/>
          <w:sz w:val="22"/>
          <w:szCs w:val="22"/>
        </w:rPr>
        <w:t xml:space="preserve">Maintaining an open-door policy for employee concerns</w:t>
      </w:r>
    </w:p>
    <w:p>
      <w:pPr>
        <w:pStyle w:val="ListParagraph"/>
        <w:numPr>
          <w:ilvl w:val="0"/>
          <w:numId w:val="2"/>
        </w:numPr>
      </w:pPr>
      <w:r>
        <w:rPr>
          <w:rFonts w:ascii="Arial" w:cs="Arial" w:eastAsia="Arial" w:hAnsi="Arial"/>
          <w:color w:val="3A4A5A"/>
          <w:sz w:val="22"/>
          <w:szCs w:val="22"/>
        </w:rPr>
        <w:t xml:space="preserve">Providing clear and transparent communication on policies and procedures</w:t>
      </w:r>
    </w:p>
    <w:p>
      <w:pPr>
        <w:pStyle w:val="Heading2"/>
      </w:pPr>
      <w:r>
        <w:t xml:space="preserve">8. Workplace Harassment and Bullying</w:t>
      </w:r>
    </w:p>
    <w:p>
      <w:pPr>
        <w:pStyle w:val="Heading3"/>
      </w:pPr>
      <w:r>
        <w:t xml:space="preserve">8.1 Zero Tolerance Policy</w:t>
      </w:r>
    </w:p>
    <w:p>
      <w:pPr>
        <w:spacing w:after="60" w:before="60"/>
      </w:pPr>
      <w:r>
        <w:rPr>
          <w:rFonts w:ascii="Arial" w:cs="Arial" w:eastAsia="Arial" w:hAnsi="Arial"/>
          <w:b w:val="false"/>
          <w:bCs w:val="false"/>
          <w:color w:val="3A4A5A"/>
          <w:sz w:val="22"/>
          <w:szCs w:val="22"/>
        </w:rPr>
        <w:t xml:space="preserve">Jera Consulting maintains a zero-tolerance policy for harassment and bullying in the workplace, including:</w:t>
      </w:r>
    </w:p>
    <w:p>
      <w:pPr>
        <w:pStyle w:val="ListParagraph"/>
        <w:numPr>
          <w:ilvl w:val="0"/>
          <w:numId w:val="2"/>
        </w:numPr>
      </w:pPr>
      <w:r>
        <w:rPr>
          <w:rFonts w:ascii="Arial" w:cs="Arial" w:eastAsia="Arial" w:hAnsi="Arial"/>
          <w:color w:val="3A4A5A"/>
          <w:sz w:val="22"/>
          <w:szCs w:val="22"/>
        </w:rPr>
        <w:t xml:space="preserve">Sexual harassment and unwanted sexual conduct</w:t>
      </w:r>
    </w:p>
    <w:p>
      <w:pPr>
        <w:pStyle w:val="ListParagraph"/>
        <w:numPr>
          <w:ilvl w:val="0"/>
          <w:numId w:val="2"/>
        </w:numPr>
      </w:pPr>
      <w:r>
        <w:rPr>
          <w:rFonts w:ascii="Arial" w:cs="Arial" w:eastAsia="Arial" w:hAnsi="Arial"/>
          <w:color w:val="3A4A5A"/>
          <w:sz w:val="22"/>
          <w:szCs w:val="22"/>
        </w:rPr>
        <w:t xml:space="preserve">Racial or ethnic harassment</w:t>
      </w:r>
    </w:p>
    <w:p>
      <w:pPr>
        <w:pStyle w:val="ListParagraph"/>
        <w:numPr>
          <w:ilvl w:val="0"/>
          <w:numId w:val="2"/>
        </w:numPr>
      </w:pPr>
      <w:r>
        <w:rPr>
          <w:rFonts w:ascii="Arial" w:cs="Arial" w:eastAsia="Arial" w:hAnsi="Arial"/>
          <w:color w:val="3A4A5A"/>
          <w:sz w:val="22"/>
          <w:szCs w:val="22"/>
        </w:rPr>
        <w:t xml:space="preserve">Harassment based on disability, age, or any other protected characteristic</w:t>
      </w:r>
    </w:p>
    <w:p>
      <w:pPr>
        <w:pStyle w:val="ListParagraph"/>
        <w:numPr>
          <w:ilvl w:val="0"/>
          <w:numId w:val="2"/>
        </w:numPr>
      </w:pPr>
      <w:r>
        <w:rPr>
          <w:rFonts w:ascii="Arial" w:cs="Arial" w:eastAsia="Arial" w:hAnsi="Arial"/>
          <w:color w:val="3A4A5A"/>
          <w:sz w:val="22"/>
          <w:szCs w:val="22"/>
        </w:rPr>
        <w:t xml:space="preserve">Bullying, intimidation, or threatening behaviour</w:t>
      </w:r>
    </w:p>
    <w:p>
      <w:pPr>
        <w:pStyle w:val="ListParagraph"/>
        <w:numPr>
          <w:ilvl w:val="0"/>
          <w:numId w:val="2"/>
        </w:numPr>
      </w:pPr>
      <w:r>
        <w:rPr>
          <w:rFonts w:ascii="Arial" w:cs="Arial" w:eastAsia="Arial" w:hAnsi="Arial"/>
          <w:color w:val="3A4A5A"/>
          <w:sz w:val="22"/>
          <w:szCs w:val="22"/>
        </w:rPr>
        <w:t xml:space="preserve">Verbal or physical abuse</w:t>
      </w:r>
    </w:p>
    <w:p>
      <w:pPr>
        <w:pStyle w:val="Heading3"/>
      </w:pPr>
      <w:r>
        <w:t xml:space="preserve">8.2 Definition of Sexual Harassment</w:t>
      </w:r>
    </w:p>
    <w:p>
      <w:pPr>
        <w:spacing w:after="60" w:before="60"/>
      </w:pPr>
      <w:r>
        <w:rPr>
          <w:rFonts w:ascii="Arial" w:cs="Arial" w:eastAsia="Arial" w:hAnsi="Arial"/>
          <w:b w:val="false"/>
          <w:bCs w:val="false"/>
          <w:color w:val="3A4A5A"/>
          <w:sz w:val="22"/>
          <w:szCs w:val="22"/>
        </w:rPr>
        <w:t xml:space="preserve">In accordance with the Code of Good Practice for the Elimination of Sexual Harassment and Unfair Discrimination, sexual harassment includes:</w:t>
      </w:r>
    </w:p>
    <w:p>
      <w:pPr>
        <w:pStyle w:val="ListParagraph"/>
        <w:numPr>
          <w:ilvl w:val="0"/>
          <w:numId w:val="2"/>
        </w:numPr>
      </w:pPr>
      <w:r>
        <w:rPr>
          <w:rFonts w:ascii="Arial" w:cs="Arial" w:eastAsia="Arial" w:hAnsi="Arial"/>
          <w:color w:val="3A4A5A"/>
          <w:sz w:val="22"/>
          <w:szCs w:val="22"/>
        </w:rPr>
        <w:t xml:space="preserve">Unwanted verbal conduct of a sexual nature</w:t>
      </w:r>
    </w:p>
    <w:p>
      <w:pPr>
        <w:pStyle w:val="ListParagraph"/>
        <w:numPr>
          <w:ilvl w:val="0"/>
          <w:numId w:val="2"/>
        </w:numPr>
      </w:pPr>
      <w:r>
        <w:rPr>
          <w:rFonts w:ascii="Arial" w:cs="Arial" w:eastAsia="Arial" w:hAnsi="Arial"/>
          <w:color w:val="3A4A5A"/>
          <w:sz w:val="22"/>
          <w:szCs w:val="22"/>
        </w:rPr>
        <w:t xml:space="preserve">Unwanted non-verbal conduct of a sexual nature</w:t>
      </w:r>
    </w:p>
    <w:p>
      <w:pPr>
        <w:pStyle w:val="ListParagraph"/>
        <w:numPr>
          <w:ilvl w:val="0"/>
          <w:numId w:val="2"/>
        </w:numPr>
      </w:pPr>
      <w:r>
        <w:rPr>
          <w:rFonts w:ascii="Arial" w:cs="Arial" w:eastAsia="Arial" w:hAnsi="Arial"/>
          <w:color w:val="3A4A5A"/>
          <w:sz w:val="22"/>
          <w:szCs w:val="22"/>
        </w:rPr>
        <w:t xml:space="preserve">Unwanted physical conduct of a sexual nature</w:t>
      </w:r>
    </w:p>
    <w:p>
      <w:pPr>
        <w:spacing w:after="60" w:before="60"/>
      </w:pPr>
      <w:r>
        <w:rPr>
          <w:rFonts w:ascii="Arial" w:cs="Arial" w:eastAsia="Arial" w:hAnsi="Arial"/>
          <w:b w:val="false"/>
          <w:bCs w:val="false"/>
          <w:color w:val="3A4A5A"/>
          <w:sz w:val="22"/>
          <w:szCs w:val="22"/>
        </w:rPr>
        <w:t xml:space="preserve">Sexual harassment may include conduct by the same gender and does not require intent to harass.</w:t>
      </w:r>
    </w:p>
    <w:p>
      <w:pPr>
        <w:pStyle w:val="Heading3"/>
      </w:pPr>
      <w:r>
        <w:t xml:space="preserve">8.3 Reporting Harassment</w:t>
      </w:r>
    </w:p>
    <w:p>
      <w:pPr>
        <w:spacing w:after="60" w:before="60"/>
      </w:pPr>
      <w:r>
        <w:rPr>
          <w:rFonts w:ascii="Arial" w:cs="Arial" w:eastAsia="Arial" w:hAnsi="Arial"/>
          <w:b w:val="false"/>
          <w:bCs w:val="false"/>
          <w:color w:val="3A4A5A"/>
          <w:sz w:val="22"/>
          <w:szCs w:val="22"/>
        </w:rPr>
        <w:t xml:space="preserve">Employees may report harassment to:</w:t>
      </w:r>
    </w:p>
    <w:p>
      <w:pPr>
        <w:pStyle w:val="ListParagraph"/>
        <w:numPr>
          <w:ilvl w:val="0"/>
          <w:numId w:val="2"/>
        </w:numPr>
      </w:pPr>
      <w:r>
        <w:rPr>
          <w:rFonts w:ascii="Arial" w:cs="Arial" w:eastAsia="Arial" w:hAnsi="Arial"/>
          <w:color w:val="3A4A5A"/>
          <w:sz w:val="22"/>
          <w:szCs w:val="22"/>
        </w:rPr>
        <w:t xml:space="preserve">Their direct manager or supervisor</w:t>
      </w:r>
    </w:p>
    <w:p>
      <w:pPr>
        <w:pStyle w:val="ListParagraph"/>
        <w:numPr>
          <w:ilvl w:val="0"/>
          <w:numId w:val="2"/>
        </w:numPr>
      </w:pPr>
      <w:r>
        <w:rPr>
          <w:rFonts w:ascii="Arial" w:cs="Arial" w:eastAsia="Arial" w:hAnsi="Arial"/>
          <w:color w:val="3A4A5A"/>
          <w:sz w:val="22"/>
          <w:szCs w:val="22"/>
        </w:rPr>
        <w:t xml:space="preserve">Human Resources</w:t>
      </w:r>
    </w:p>
    <w:p>
      <w:pPr>
        <w:pStyle w:val="ListParagraph"/>
        <w:numPr>
          <w:ilvl w:val="0"/>
          <w:numId w:val="2"/>
        </w:numPr>
      </w:pPr>
      <w:r>
        <w:rPr>
          <w:rFonts w:ascii="Arial" w:cs="Arial" w:eastAsia="Arial" w:hAnsi="Arial"/>
          <w:color w:val="3A4A5A"/>
          <w:sz w:val="22"/>
          <w:szCs w:val="22"/>
        </w:rPr>
        <w:t xml:space="preserve">A designated grievance officer</w:t>
      </w:r>
    </w:p>
    <w:p>
      <w:pPr>
        <w:pStyle w:val="ListParagraph"/>
        <w:numPr>
          <w:ilvl w:val="0"/>
          <w:numId w:val="2"/>
        </w:numPr>
      </w:pPr>
      <w:r>
        <w:rPr>
          <w:rFonts w:ascii="Arial" w:cs="Arial" w:eastAsia="Arial" w:hAnsi="Arial"/>
          <w:color w:val="3A4A5A"/>
          <w:sz w:val="22"/>
          <w:szCs w:val="22"/>
        </w:rPr>
        <w:t xml:space="preserve">The CCMA or any other relevant authority</w:t>
      </w:r>
    </w:p>
    <w:p>
      <w:pPr>
        <w:spacing w:after="60" w:before="60"/>
      </w:pPr>
      <w:r>
        <w:rPr>
          <w:rFonts w:ascii="Arial" w:cs="Arial" w:eastAsia="Arial" w:hAnsi="Arial"/>
          <w:b w:val="false"/>
          <w:bCs w:val="false"/>
          <w:color w:val="3A4A5A"/>
          <w:sz w:val="22"/>
          <w:szCs w:val="22"/>
        </w:rPr>
        <w:t xml:space="preserve">All reports will be treated confidentially and investigated promptly.</w:t>
      </w:r>
    </w:p>
    <w:p>
      <w:pPr>
        <w:pStyle w:val="Heading2"/>
      </w:pPr>
      <w:r>
        <w:t xml:space="preserve">9. Digital Communication and Social Media</w:t>
      </w:r>
    </w:p>
    <w:p>
      <w:pPr>
        <w:pStyle w:val="Heading3"/>
      </w:pPr>
      <w:r>
        <w:t xml:space="preserve">9.1 Professional Conduct Online</w:t>
      </w:r>
    </w:p>
    <w:p>
      <w:pPr>
        <w:spacing w:after="60" w:before="60"/>
      </w:pPr>
      <w:r>
        <w:rPr>
          <w:rFonts w:ascii="Arial" w:cs="Arial" w:eastAsia="Arial" w:hAnsi="Arial"/>
          <w:b w:val="false"/>
          <w:bCs w:val="false"/>
          <w:color w:val="3A4A5A"/>
          <w:sz w:val="22"/>
          <w:szCs w:val="22"/>
        </w:rPr>
        <w:t xml:space="preserve">Employees are expected to maintain professional standards in digital communications, including email, instant messaging, and video calls. Unprofessional, harassing, or discriminatory messages may result in disciplinary action.</w:t>
      </w:r>
    </w:p>
    <w:p>
      <w:pPr>
        <w:pStyle w:val="Heading3"/>
      </w:pPr>
      <w:r>
        <w:t xml:space="preserve">9.2 Social Media Misconduct</w:t>
      </w:r>
    </w:p>
    <w:p>
      <w:pPr>
        <w:spacing w:after="60" w:before="60"/>
      </w:pPr>
      <w:r>
        <w:rPr>
          <w:rFonts w:ascii="Arial" w:cs="Arial" w:eastAsia="Arial" w:hAnsi="Arial"/>
          <w:b w:val="false"/>
          <w:bCs w:val="false"/>
          <w:color w:val="3A4A5A"/>
          <w:sz w:val="22"/>
          <w:szCs w:val="22"/>
        </w:rPr>
        <w:t xml:space="preserve">While employees are entitled to personal social media use, conduct that:</w:t>
      </w:r>
    </w:p>
    <w:p>
      <w:pPr>
        <w:pStyle w:val="ListParagraph"/>
        <w:numPr>
          <w:ilvl w:val="0"/>
          <w:numId w:val="2"/>
        </w:numPr>
      </w:pPr>
      <w:r>
        <w:rPr>
          <w:rFonts w:ascii="Arial" w:cs="Arial" w:eastAsia="Arial" w:hAnsi="Arial"/>
          <w:color w:val="3A4A5A"/>
          <w:sz w:val="22"/>
          <w:szCs w:val="22"/>
        </w:rPr>
        <w:t xml:space="preserve">Brings the company into disrepute</w:t>
      </w:r>
    </w:p>
    <w:p>
      <w:pPr>
        <w:pStyle w:val="ListParagraph"/>
        <w:numPr>
          <w:ilvl w:val="0"/>
          <w:numId w:val="2"/>
        </w:numPr>
      </w:pPr>
      <w:r>
        <w:rPr>
          <w:rFonts w:ascii="Arial" w:cs="Arial" w:eastAsia="Arial" w:hAnsi="Arial"/>
          <w:color w:val="3A4A5A"/>
          <w:sz w:val="22"/>
          <w:szCs w:val="22"/>
        </w:rPr>
        <w:t xml:space="preserve">Violates confidentiality or intellectual property</w:t>
      </w:r>
    </w:p>
    <w:p>
      <w:pPr>
        <w:pStyle w:val="ListParagraph"/>
        <w:numPr>
          <w:ilvl w:val="0"/>
          <w:numId w:val="2"/>
        </w:numPr>
      </w:pPr>
      <w:r>
        <w:rPr>
          <w:rFonts w:ascii="Arial" w:cs="Arial" w:eastAsia="Arial" w:hAnsi="Arial"/>
          <w:color w:val="3A4A5A"/>
          <w:sz w:val="22"/>
          <w:szCs w:val="22"/>
        </w:rPr>
        <w:t xml:space="preserve">Constitutes harassment or discrimination</w:t>
      </w:r>
    </w:p>
    <w:p>
      <w:pPr>
        <w:pStyle w:val="ListParagraph"/>
        <w:numPr>
          <w:ilvl w:val="0"/>
          <w:numId w:val="2"/>
        </w:numPr>
      </w:pPr>
      <w:r>
        <w:rPr>
          <w:rFonts w:ascii="Arial" w:cs="Arial" w:eastAsia="Arial" w:hAnsi="Arial"/>
          <w:color w:val="3A4A5A"/>
          <w:sz w:val="22"/>
          <w:szCs w:val="22"/>
        </w:rPr>
        <w:t xml:space="preserve">Misrepresents the company or its policies</w:t>
      </w:r>
    </w:p>
    <w:p>
      <w:pPr>
        <w:spacing w:after="60" w:before="60"/>
      </w:pPr>
      <w:r>
        <w:rPr>
          <w:rFonts w:ascii="Arial" w:cs="Arial" w:eastAsia="Arial" w:hAnsi="Arial"/>
          <w:b w:val="false"/>
          <w:bCs w:val="false"/>
          <w:color w:val="3A4A5A"/>
          <w:sz w:val="22"/>
          <w:szCs w:val="22"/>
        </w:rPr>
        <w:t xml:space="preserve">may result in disciplinary action.</w:t>
      </w:r>
    </w:p>
    <w:p>
      <w:pPr>
        <w:pStyle w:val="Heading2"/>
      </w:pPr>
      <w:r>
        <w:t xml:space="preserve">10. Strike and Lock-Out Policy</w:t>
      </w:r>
    </w:p>
    <w:p>
      <w:pPr>
        <w:pStyle w:val="Heading3"/>
      </w:pPr>
      <w:r>
        <w:t xml:space="preserve">10.1 Right to Strike</w:t>
      </w:r>
    </w:p>
    <w:p>
      <w:pPr>
        <w:spacing w:after="60" w:before="60"/>
      </w:pPr>
      <w:r>
        <w:rPr>
          <w:rFonts w:ascii="Arial" w:cs="Arial" w:eastAsia="Arial" w:hAnsi="Arial"/>
          <w:b w:val="false"/>
          <w:bCs w:val="false"/>
          <w:color w:val="3A4A5A"/>
          <w:sz w:val="22"/>
          <w:szCs w:val="22"/>
        </w:rPr>
        <w:t xml:space="preserve">Employees have the right to strike for lawful purposes as provided in the Labour Relations Act. Strikes must follow proper procedures, including notice to the employer and mediation where required.</w:t>
      </w:r>
    </w:p>
    <w:p>
      <w:pPr>
        <w:pStyle w:val="Heading3"/>
      </w:pPr>
      <w:r>
        <w:t xml:space="preserve">10.2 Company Rights</w:t>
      </w:r>
    </w:p>
    <w:p>
      <w:pPr>
        <w:spacing w:after="60" w:before="60"/>
      </w:pPr>
      <w:r>
        <w:rPr>
          <w:rFonts w:ascii="Arial" w:cs="Arial" w:eastAsia="Arial" w:hAnsi="Arial"/>
          <w:b w:val="false"/>
          <w:bCs w:val="false"/>
          <w:color w:val="3A4A5A"/>
          <w:sz w:val="22"/>
          <w:szCs w:val="22"/>
        </w:rPr>
        <w:t xml:space="preserve">The company has the right to implement a lock-out in response to a strike, subject to proper procedure and notice.</w:t>
      </w:r>
    </w:p>
    <w:p>
      <w:pPr>
        <w:pStyle w:val="Heading3"/>
      </w:pPr>
      <w:r>
        <w:t xml:space="preserve">10.3 Strike Procedure</w:t>
      </w:r>
    </w:p>
    <w:p>
      <w:pPr>
        <w:spacing w:after="60" w:before="60"/>
      </w:pPr>
      <w:r>
        <w:rPr>
          <w:rFonts w:ascii="Arial" w:cs="Arial" w:eastAsia="Arial" w:hAnsi="Arial"/>
          <w:b w:val="false"/>
          <w:bCs w:val="false"/>
          <w:color w:val="3A4A5A"/>
          <w:sz w:val="22"/>
          <w:szCs w:val="22"/>
        </w:rPr>
        <w:t xml:space="preserve">During any strike or industrial action:</w:t>
      </w:r>
    </w:p>
    <w:p>
      <w:pPr>
        <w:pStyle w:val="ListParagraph"/>
        <w:numPr>
          <w:ilvl w:val="0"/>
          <w:numId w:val="2"/>
        </w:numPr>
      </w:pPr>
      <w:r>
        <w:rPr>
          <w:rFonts w:ascii="Arial" w:cs="Arial" w:eastAsia="Arial" w:hAnsi="Arial"/>
          <w:color w:val="3A4A5A"/>
          <w:sz w:val="22"/>
          <w:szCs w:val="22"/>
        </w:rPr>
        <w:t xml:space="preserve">Essential services will be maintained</w:t>
      </w:r>
    </w:p>
    <w:p>
      <w:pPr>
        <w:pStyle w:val="ListParagraph"/>
        <w:numPr>
          <w:ilvl w:val="0"/>
          <w:numId w:val="2"/>
        </w:numPr>
      </w:pPr>
      <w:r>
        <w:rPr>
          <w:rFonts w:ascii="Arial" w:cs="Arial" w:eastAsia="Arial" w:hAnsi="Arial"/>
          <w:color w:val="3A4A5A"/>
          <w:sz w:val="22"/>
          <w:szCs w:val="22"/>
        </w:rPr>
        <w:t xml:space="preserve">No employee will be victimised for participating in a lawful strike</w:t>
      </w:r>
    </w:p>
    <w:p>
      <w:pPr>
        <w:pStyle w:val="ListParagraph"/>
        <w:numPr>
          <w:ilvl w:val="0"/>
          <w:numId w:val="2"/>
        </w:numPr>
      </w:pPr>
      <w:r>
        <w:rPr>
          <w:rFonts w:ascii="Arial" w:cs="Arial" w:eastAsia="Arial" w:hAnsi="Arial"/>
          <w:color w:val="3A4A5A"/>
          <w:sz w:val="22"/>
          <w:szCs w:val="22"/>
        </w:rPr>
        <w:t xml:space="preserve">Negotiations will be conducted in good faith</w:t>
      </w:r>
    </w:p>
    <w:p>
      <w:pPr>
        <w:pStyle w:val="ListParagraph"/>
        <w:numPr>
          <w:ilvl w:val="0"/>
          <w:numId w:val="2"/>
        </w:numPr>
      </w:pPr>
      <w:r>
        <w:rPr>
          <w:rFonts w:ascii="Arial" w:cs="Arial" w:eastAsia="Arial" w:hAnsi="Arial"/>
          <w:color w:val="3A4A5A"/>
          <w:sz w:val="22"/>
          <w:szCs w:val="22"/>
        </w:rPr>
        <w:t xml:space="preserve">The matter may be referred to the CCMA for mediation or arbitration if necessary</w:t>
      </w:r>
    </w:p>
    <w:p>
      <w:pPr>
        <w:pStyle w:val="Heading2"/>
      </w:pPr>
      <w:r>
        <w:t xml:space="preserve">11. Dispute Resolution and CCMA</w:t>
      </w:r>
    </w:p>
    <w:p>
      <w:pPr>
        <w:pStyle w:val="Heading3"/>
      </w:pPr>
      <w:r>
        <w:t xml:space="preserve">11.1 Alternative Dispute Resolution</w:t>
      </w:r>
    </w:p>
    <w:p>
      <w:pPr>
        <w:spacing w:after="60" w:before="60"/>
      </w:pPr>
      <w:r>
        <w:rPr>
          <w:rFonts w:ascii="Arial" w:cs="Arial" w:eastAsia="Arial" w:hAnsi="Arial"/>
          <w:b w:val="false"/>
          <w:bCs w:val="false"/>
          <w:color w:val="3A4A5A"/>
          <w:sz w:val="22"/>
          <w:szCs w:val="22"/>
        </w:rPr>
        <w:t xml:space="preserve">The company is committed to resolving disputes promptly through negotiation and mediation before involving external bodies.</w:t>
      </w:r>
    </w:p>
    <w:p>
      <w:pPr>
        <w:pStyle w:val="Heading3"/>
      </w:pPr>
      <w:r>
        <w:t xml:space="preserve">11.2 CCMA Referral</w:t>
      </w:r>
    </w:p>
    <w:p>
      <w:pPr>
        <w:spacing w:after="60" w:before="60"/>
      </w:pPr>
      <w:r>
        <w:rPr>
          <w:rFonts w:ascii="Arial" w:cs="Arial" w:eastAsia="Arial" w:hAnsi="Arial"/>
          <w:b w:val="false"/>
          <w:bCs w:val="false"/>
          <w:color w:val="3A4A5A"/>
          <w:sz w:val="22"/>
          <w:szCs w:val="22"/>
        </w:rPr>
        <w:t xml:space="preserve">If internal procedures do not resolve a dispute, either party may refer the matter to the Commission for Conciliation, Mediation and Arbitration (CCMA) in accordance with the Labour Relations Act. The CCMA will:</w:t>
      </w:r>
    </w:p>
    <w:p>
      <w:pPr>
        <w:pStyle w:val="ListParagraph"/>
        <w:numPr>
          <w:ilvl w:val="0"/>
          <w:numId w:val="2"/>
        </w:numPr>
      </w:pPr>
      <w:r>
        <w:rPr>
          <w:rFonts w:ascii="Arial" w:cs="Arial" w:eastAsia="Arial" w:hAnsi="Arial"/>
          <w:color w:val="3A4A5A"/>
          <w:sz w:val="22"/>
          <w:szCs w:val="22"/>
        </w:rPr>
        <w:t xml:space="preserve">Attempt to resolve the dispute through conciliation</w:t>
      </w:r>
    </w:p>
    <w:p>
      <w:pPr>
        <w:pStyle w:val="ListParagraph"/>
        <w:numPr>
          <w:ilvl w:val="0"/>
          <w:numId w:val="2"/>
        </w:numPr>
      </w:pPr>
      <w:r>
        <w:rPr>
          <w:rFonts w:ascii="Arial" w:cs="Arial" w:eastAsia="Arial" w:hAnsi="Arial"/>
          <w:color w:val="3A4A5A"/>
          <w:sz w:val="22"/>
          <w:szCs w:val="22"/>
        </w:rPr>
        <w:t xml:space="preserve">Conduct a hearing and issue an award if conciliation is unsuccessful</w:t>
      </w:r>
    </w:p>
    <w:p>
      <w:pPr>
        <w:pStyle w:val="ListParagraph"/>
        <w:numPr>
          <w:ilvl w:val="0"/>
          <w:numId w:val="2"/>
        </w:numPr>
      </w:pPr>
      <w:r>
        <w:rPr>
          <w:rFonts w:ascii="Arial" w:cs="Arial" w:eastAsia="Arial" w:hAnsi="Arial"/>
          <w:color w:val="3A4A5A"/>
          <w:sz w:val="22"/>
          <w:szCs w:val="22"/>
        </w:rPr>
        <w:t xml:space="preserve">Determine remedies in cases of unfair dismissal or unfair labour practice</w:t>
      </w:r>
    </w:p>
    <w:p>
      <w:pPr>
        <w:pStyle w:val="Heading3"/>
      </w:pPr>
      <w:r>
        <w:t xml:space="preserve">11.3 Virtual and Online Dispute Resolution</w:t>
      </w:r>
    </w:p>
    <w:p>
      <w:pPr>
        <w:spacing w:after="60" w:before="60"/>
      </w:pPr>
      <w:r>
        <w:rPr>
          <w:rFonts w:ascii="Arial" w:cs="Arial" w:eastAsia="Arial" w:hAnsi="Arial"/>
          <w:b w:val="false"/>
          <w:bCs w:val="false"/>
          <w:color w:val="3A4A5A"/>
          <w:sz w:val="22"/>
          <w:szCs w:val="22"/>
        </w:rPr>
        <w:t xml:space="preserve">Post-COVID, the CCMA has developed procedures for virtual conciliation and arbitration hearings. The company will participate in such processes where required, ensuring fair and transparent proceedings.</w:t>
      </w:r>
    </w:p>
    <w:p>
      <w:pPr>
        <w:pStyle w:val="Heading3"/>
      </w:pPr>
      <w:r>
        <w:t xml:space="preserve">11.4 Labour Court</w:t>
      </w:r>
    </w:p>
    <w:p>
      <w:pPr>
        <w:spacing w:after="60" w:before="60"/>
      </w:pPr>
      <w:r>
        <w:rPr>
          <w:rFonts w:ascii="Arial" w:cs="Arial" w:eastAsia="Arial" w:hAnsi="Arial"/>
          <w:b w:val="false"/>
          <w:bCs w:val="false"/>
          <w:color w:val="3A4A5A"/>
          <w:sz w:val="22"/>
          <w:szCs w:val="22"/>
        </w:rPr>
        <w:t xml:space="preserve">Certain disputes may be referred to the Labour Court, including reviews of CCMA awards and constitutional matters. The company will pursue justice through the appropriate courts as necessary.</w:t>
      </w:r>
    </w:p>
    <w:p>
      <w:pPr>
        <w:pStyle w:val="Heading2"/>
      </w:pPr>
      <w:r>
        <w:t xml:space="preserve">12. Training and Development</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Provide training to managers on fair and legal discipline and grievance handling</w:t>
      </w:r>
    </w:p>
    <w:p>
      <w:pPr>
        <w:pStyle w:val="ListParagraph"/>
        <w:numPr>
          <w:ilvl w:val="0"/>
          <w:numId w:val="2"/>
        </w:numPr>
      </w:pPr>
      <w:r>
        <w:rPr>
          <w:rFonts w:ascii="Arial" w:cs="Arial" w:eastAsia="Arial" w:hAnsi="Arial"/>
          <w:color w:val="3A4A5A"/>
          <w:sz w:val="22"/>
          <w:szCs w:val="22"/>
        </w:rPr>
        <w:t xml:space="preserve">Ensure Human Resources staff are trained in current labour law and best practices</w:t>
      </w:r>
    </w:p>
    <w:p>
      <w:pPr>
        <w:pStyle w:val="ListParagraph"/>
        <w:numPr>
          <w:ilvl w:val="0"/>
          <w:numId w:val="2"/>
        </w:numPr>
      </w:pPr>
      <w:r>
        <w:rPr>
          <w:rFonts w:ascii="Arial" w:cs="Arial" w:eastAsia="Arial" w:hAnsi="Arial"/>
          <w:color w:val="3A4A5A"/>
          <w:sz w:val="22"/>
          <w:szCs w:val="22"/>
        </w:rPr>
        <w:t xml:space="preserve">Offer training to employee representatives on their rights and responsibilities</w:t>
      </w:r>
    </w:p>
    <w:p>
      <w:pPr>
        <w:pStyle w:val="ListParagraph"/>
        <w:numPr>
          <w:ilvl w:val="0"/>
          <w:numId w:val="2"/>
        </w:numPr>
      </w:pPr>
      <w:r>
        <w:rPr>
          <w:rFonts w:ascii="Arial" w:cs="Arial" w:eastAsia="Arial" w:hAnsi="Arial"/>
          <w:color w:val="3A4A5A"/>
          <w:sz w:val="22"/>
          <w:szCs w:val="22"/>
        </w:rPr>
        <w:t xml:space="preserve">Communicate this policy to all employees during onboarding</w:t>
      </w:r>
    </w:p>
    <w:p>
      <w:pPr>
        <w:pStyle w:val="Heading2"/>
      </w:pPr>
      <w:r>
        <w:t xml:space="preserve">13. Labour Legislation Framework</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Labour Relations Act, 1995, as amended</w:t>
      </w:r>
    </w:p>
    <w:p>
      <w:pPr>
        <w:pStyle w:val="ListParagraph"/>
        <w:numPr>
          <w:ilvl w:val="0"/>
          <w:numId w:val="2"/>
        </w:numPr>
      </w:pPr>
      <w:r>
        <w:rPr>
          <w:rFonts w:ascii="Arial" w:cs="Arial" w:eastAsia="Arial" w:hAnsi="Arial"/>
          <w:color w:val="3A4A5A"/>
          <w:sz w:val="22"/>
          <w:szCs w:val="22"/>
        </w:rPr>
        <w:t xml:space="preserve">The Basic Conditions of Employment Act, 1997</w:t>
      </w:r>
    </w:p>
    <w:p>
      <w:pPr>
        <w:pStyle w:val="ListParagraph"/>
        <w:numPr>
          <w:ilvl w:val="0"/>
          <w:numId w:val="2"/>
        </w:numPr>
      </w:pPr>
      <w:r>
        <w:rPr>
          <w:rFonts w:ascii="Arial" w:cs="Arial" w:eastAsia="Arial" w:hAnsi="Arial"/>
          <w:color w:val="3A4A5A"/>
          <w:sz w:val="22"/>
          <w:szCs w:val="22"/>
        </w:rPr>
        <w:t xml:space="preserve">The Employment Equity Act, 1998, as amended</w:t>
      </w:r>
    </w:p>
    <w:p>
      <w:pPr>
        <w:pStyle w:val="ListParagraph"/>
        <w:numPr>
          <w:ilvl w:val="0"/>
          <w:numId w:val="2"/>
        </w:numPr>
      </w:pPr>
      <w:r>
        <w:rPr>
          <w:rFonts w:ascii="Arial" w:cs="Arial" w:eastAsia="Arial" w:hAnsi="Arial"/>
          <w:color w:val="3A4A5A"/>
          <w:sz w:val="22"/>
          <w:szCs w:val="22"/>
        </w:rPr>
        <w:t xml:space="preserve">The Occupational Health and Safety Act, 1985</w:t>
      </w:r>
    </w:p>
    <w:p>
      <w:pPr>
        <w:pStyle w:val="ListParagraph"/>
        <w:numPr>
          <w:ilvl w:val="0"/>
          <w:numId w:val="2"/>
        </w:numPr>
      </w:pPr>
      <w:r>
        <w:rPr>
          <w:rFonts w:ascii="Arial" w:cs="Arial" w:eastAsia="Arial" w:hAnsi="Arial"/>
          <w:color w:val="3A4A5A"/>
          <w:sz w:val="22"/>
          <w:szCs w:val="22"/>
        </w:rPr>
        <w:t xml:space="preserve">The Code of Good Practice for the Elimination of Sexual Harassment and Unfair Discrimination</w:t>
      </w:r>
    </w:p>
    <w:p>
      <w:pPr>
        <w:pStyle w:val="ListParagraph"/>
        <w:numPr>
          <w:ilvl w:val="0"/>
          <w:numId w:val="2"/>
        </w:numPr>
      </w:pPr>
      <w:r>
        <w:rPr>
          <w:rFonts w:ascii="Arial" w:cs="Arial" w:eastAsia="Arial" w:hAnsi="Arial"/>
          <w:color w:val="3A4A5A"/>
          <w:sz w:val="22"/>
          <w:szCs w:val="22"/>
        </w:rPr>
        <w:t xml:space="preserve">All applicable CCMA and Labour Court judgments and procedures</w:t>
      </w:r>
    </w:p>
    <w:p>
      <w:pPr>
        <w:pStyle w:val="Heading2"/>
      </w:pPr>
      <w:r>
        <w:t xml:space="preserve">14. Implementation and Review</w:t>
      </w:r>
    </w:p>
    <w:p>
      <w:pPr>
        <w:spacing w:after="60" w:before="60"/>
      </w:pPr>
      <w:r>
        <w:rPr>
          <w:rFonts w:ascii="Arial" w:cs="Arial" w:eastAsia="Arial" w:hAnsi="Arial"/>
          <w:b w:val="false"/>
          <w:bCs w:val="false"/>
          <w:color w:val="3A4A5A"/>
          <w:sz w:val="22"/>
          <w:szCs w:val="22"/>
        </w:rPr>
        <w:t xml:space="preserve">This policy is effective from 1 May 2026 and will be reviewed annually or in response to legislative changes or operational requirements.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CC2CED-80C0-428F-AD6A-2A880CB28E73}"/>
</file>

<file path=customXml/itemProps2.xml><?xml version="1.0" encoding="utf-8"?>
<ds:datastoreItem xmlns:ds="http://schemas.openxmlformats.org/officeDocument/2006/customXml" ds:itemID="{5FE9CFCA-1D37-47CF-A6F2-FEBA62641955}"/>
</file>

<file path=customXml/itemProps3.xml><?xml version="1.0" encoding="utf-8"?>
<ds:datastoreItem xmlns:ds="http://schemas.openxmlformats.org/officeDocument/2006/customXml" ds:itemID="{98FC55C5-A5EC-4455-9148-D2365D19D30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2026-04-13T13:54:30Z</dcterms:created>
  <dcterms:modified xsi:type="dcterms:W3CDTF">2026-04-13T13:54:30Z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