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2F50" w:val="clear"/>
        <w:tabs>
          <w:tab w:val="right" w:pos="10466"/>
        </w:tabs>
        <w:spacing w:after="120" w:before="0"/>
      </w:pPr>
      <w:r>
        <w:rPr>
          <w:rFonts w:ascii="Arial" w:cs="Arial" w:eastAsia="Arial" w:hAnsi="Arial"/>
          <w:b w:val="false"/>
          <w:bCs w:val="false"/>
          <w:color w:val="A0BADE"/>
          <w:sz w:val="17"/>
          <w:szCs w:val="17"/>
        </w:rPr>
        <w:t xml:space="preserve">Version 1.0  |  April 2026  |  Prepared by Jera Consulting (Pty) Ltd</w:t>
      </w:r>
      <w:r>
        <w:rPr>
          <w:rFonts w:ascii="Arial" w:cs="Arial" w:eastAsia="Arial" w:hAnsi="Arial"/>
          <w:b/>
          <w:bCs/>
          <w:color w:val="1B6FFF"/>
          <w:sz w:val="17"/>
          <w:szCs w:val="17"/>
        </w:rPr>
        <w:t xml:space="preserve">	JERA-POL-HR018</w:t>
      </w:r>
    </w:p>
    <w:p>
      <w:pPr>
        <w:pStyle w:val="Heading1"/>
      </w:pPr>
      <w:r>
        <w:t xml:space="preserve">Termination of Employment</w:t>
      </w:r>
    </w:p>
    <w:p>
      <w:pPr>
        <w:spacing w:after="200" w:before="0"/>
        <w:jc w:val="center"/>
      </w:pPr>
      <w:r>
        <w:rPr>
          <w:rFonts w:ascii="Arial" w:cs="Arial" w:eastAsia="Arial" w:hAnsi="Arial"/>
          <w:color w:val="5A6A7A"/>
          <w:sz w:val="22"/>
          <w:szCs w:val="22"/>
        </w:rPr>
        <w:t xml:space="preserve">Jera Consulting (Pty) Ltd</w:t>
      </w:r>
    </w:p>
    <w:p>
      <w:pPr>
        <w:spacing w:after="200" w:before="12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616"/>
        <w:gridCol w:w="2617"/>
        <w:gridCol w:w="2617"/>
        <w:gridCol w:w="2616"/>
      </w:tblGrid>
      <w:tr>
        <w:tc>
          <w:tcPr>
            <w:tcW w:type="dxa" w:w="2616"/>
            <w:tcBorders>
              <w:top w:val="single" w:color="DDE1EA" w:sz="4"/>
              <w:left w:val="single" w:color="DDE1EA" w:sz="4"/>
              <w:bottom w:val="single" w:color="DDE1EA" w:sz="4"/>
              <w:right w:val="single" w:color="DDE1EA" w:sz="4"/>
            </w:tcBorders>
            <w:shd w:fill="1A2F50" w:val="clear"/>
            <w:tcMar>
              <w:top w:type="dxa" w:w="80"/>
              <w:left w:type="dxa" w:w="120"/>
              <w:bottom w:type="dxa" w:w="80"/>
              <w:right w:type="dxa" w:w="120"/>
            </w:tcMar>
          </w:tcPr>
          <w:p>
            <w:r>
              <w:rPr>
                <w:rFonts w:ascii="Arial" w:cs="Arial" w:eastAsia="Arial" w:hAnsi="Arial"/>
                <w:b/>
                <w:bCs/>
                <w:color w:val="FFFFFF"/>
                <w:sz w:val="18"/>
                <w:szCs w:val="18"/>
              </w:rPr>
              <w:t xml:space="preserve">Approval</w:t>
            </w:r>
          </w:p>
        </w:tc>
        <w:tc>
          <w:tcPr>
            <w:tcW w:type="dxa" w:w="2617"/>
            <w:tcBorders>
              <w:top w:val="single" w:color="DDE1EA" w:sz="4"/>
              <w:left w:val="single" w:color="DDE1EA" w:sz="4"/>
              <w:bottom w:val="single" w:color="DDE1EA" w:sz="4"/>
              <w:right w:val="single" w:color="DDE1EA" w:sz="4"/>
            </w:tcBorders>
            <w:shd w:fill="1A2F50" w:val="clear"/>
            <w:tcMar>
              <w:top w:type="dxa" w:w="80"/>
              <w:left w:type="dxa" w:w="120"/>
              <w:bottom w:type="dxa" w:w="80"/>
              <w:right w:type="dxa" w:w="120"/>
            </w:tcMar>
          </w:tcPr>
          <w:p>
            <w:r>
              <w:rPr>
                <w:rFonts w:ascii="Arial" w:cs="Arial" w:eastAsia="Arial" w:hAnsi="Arial"/>
                <w:b/>
                <w:bCs/>
                <w:color w:val="FFFFFF"/>
                <w:sz w:val="18"/>
                <w:szCs w:val="18"/>
              </w:rPr>
              <w:t xml:space="preserve">Department</w:t>
            </w:r>
          </w:p>
        </w:tc>
        <w:tc>
          <w:tcPr>
            <w:tcW w:type="dxa" w:w="2617"/>
            <w:tcBorders>
              <w:top w:val="single" w:color="DDE1EA" w:sz="4"/>
              <w:left w:val="single" w:color="DDE1EA" w:sz="4"/>
              <w:bottom w:val="single" w:color="DDE1EA" w:sz="4"/>
              <w:right w:val="single" w:color="DDE1EA" w:sz="4"/>
            </w:tcBorders>
            <w:shd w:fill="1A2F50" w:val="clear"/>
            <w:tcMar>
              <w:top w:type="dxa" w:w="80"/>
              <w:left w:type="dxa" w:w="120"/>
              <w:bottom w:type="dxa" w:w="80"/>
              <w:right w:type="dxa" w:w="120"/>
            </w:tcMar>
          </w:tcPr>
          <w:p>
            <w:r>
              <w:rPr>
                <w:rFonts w:ascii="Arial" w:cs="Arial" w:eastAsia="Arial" w:hAnsi="Arial"/>
                <w:b/>
                <w:bCs/>
                <w:color w:val="FFFFFF"/>
                <w:sz w:val="18"/>
                <w:szCs w:val="18"/>
              </w:rPr>
              <w:t xml:space="preserve">Job Title / Role</w:t>
            </w:r>
          </w:p>
        </w:tc>
        <w:tc>
          <w:tcPr>
            <w:tcW w:type="dxa" w:w="2616"/>
            <w:tcBorders>
              <w:top w:val="single" w:color="DDE1EA" w:sz="4"/>
              <w:left w:val="single" w:color="DDE1EA" w:sz="4"/>
              <w:bottom w:val="single" w:color="DDE1EA" w:sz="4"/>
              <w:right w:val="single" w:color="DDE1EA" w:sz="4"/>
            </w:tcBorders>
            <w:shd w:fill="1A2F50" w:val="clear"/>
            <w:tcMar>
              <w:top w:type="dxa" w:w="80"/>
              <w:left w:type="dxa" w:w="120"/>
              <w:bottom w:type="dxa" w:w="80"/>
              <w:right w:type="dxa" w:w="120"/>
            </w:tcMar>
          </w:tcPr>
          <w:p>
            <w:r>
              <w:rPr>
                <w:rFonts w:ascii="Arial" w:cs="Arial" w:eastAsia="Arial" w:hAnsi="Arial"/>
                <w:b/>
                <w:bCs/>
                <w:color w:val="FFFFFF"/>
                <w:sz w:val="18"/>
                <w:szCs w:val="18"/>
              </w:rPr>
              <w:t xml:space="preserve">Signature &amp; Date</w:t>
            </w:r>
          </w:p>
        </w:tc>
      </w:tr>
      <w:tr>
        <w:tc>
          <w:tcPr>
            <w:tcW w:type="dxa" w:w="2616"/>
            <w:tcBorders>
              <w:top w:val="single" w:color="DDE1EA" w:sz="4"/>
              <w:left w:val="single" w:color="DDE1EA" w:sz="4"/>
              <w:bottom w:val="single" w:color="DDE1EA" w:sz="4"/>
              <w:right w:val="single" w:color="DDE1EA" w:sz="4"/>
            </w:tcBorders>
            <w:shd w:fill="FFFFFF" w:val="clear"/>
            <w:tcMar>
              <w:top w:type="dxa" w:w="80"/>
              <w:left w:type="dxa" w:w="120"/>
              <w:bottom w:type="dxa" w:w="80"/>
              <w:right w:type="dxa" w:w="120"/>
            </w:tcMar>
          </w:tcPr>
          <w:p>
            <w:r>
              <w:rPr>
                <w:rFonts w:ascii="Arial" w:cs="Arial" w:eastAsia="Arial" w:hAnsi="Arial"/>
                <w:b w:val="false"/>
                <w:bCs w:val="false"/>
                <w:color w:val="5A6A7A"/>
                <w:sz w:val="18"/>
                <w:szCs w:val="18"/>
              </w:rPr>
              <w:t xml:space="preserve">Document Owner</w:t>
            </w:r>
          </w:p>
        </w:tc>
        <w:tc>
          <w:tcPr>
            <w:tcW w:type="dxa" w:w="2617"/>
            <w:tcBorders>
              <w:top w:val="single" w:color="DDE1EA" w:sz="4"/>
              <w:left w:val="single" w:color="DDE1EA" w:sz="4"/>
              <w:bottom w:val="single" w:color="DDE1EA" w:sz="4"/>
              <w:right w:val="single" w:color="DDE1EA" w:sz="4"/>
            </w:tcBorders>
            <w:shd w:fill="FFFFFF" w:val="clear"/>
            <w:tcMar>
              <w:top w:type="dxa" w:w="80"/>
              <w:left w:type="dxa" w:w="120"/>
              <w:bottom w:type="dxa" w:w="80"/>
              <w:right w:type="dxa" w:w="120"/>
            </w:tcMar>
          </w:tcPr>
          <w:p>
            <w:r>
              <w:rPr>
                <w:rFonts w:ascii="Arial" w:cs="Arial" w:eastAsia="Arial" w:hAnsi="Arial"/>
                <w:b w:val="false"/>
                <w:bCs w:val="false"/>
                <w:color w:val="3A4A5A"/>
                <w:sz w:val="18"/>
                <w:szCs w:val="18"/>
              </w:rPr>
              <w:t xml:space="preserve">Operations</w:t>
            </w:r>
          </w:p>
        </w:tc>
        <w:tc>
          <w:tcPr>
            <w:tcW w:type="dxa" w:w="2617"/>
            <w:tcBorders>
              <w:top w:val="single" w:color="DDE1EA" w:sz="4"/>
              <w:left w:val="single" w:color="DDE1EA" w:sz="4"/>
              <w:bottom w:val="single" w:color="DDE1EA" w:sz="4"/>
              <w:right w:val="single" w:color="DDE1EA" w:sz="4"/>
            </w:tcBorders>
            <w:shd w:fill="FFFFFF" w:val="clear"/>
            <w:tcMar>
              <w:top w:type="dxa" w:w="80"/>
              <w:left w:type="dxa" w:w="120"/>
              <w:bottom w:type="dxa" w:w="80"/>
              <w:right w:type="dxa" w:w="120"/>
            </w:tcMar>
          </w:tcPr>
          <w:p>
            <w:r>
              <w:rPr>
                <w:rFonts w:ascii="Arial" w:cs="Arial" w:eastAsia="Arial" w:hAnsi="Arial"/>
                <w:b w:val="false"/>
                <w:bCs w:val="false"/>
                <w:color w:val="3A4A5A"/>
                <w:sz w:val="18"/>
                <w:szCs w:val="18"/>
              </w:rPr>
              <w:t xml:space="preserve">Managing Director</w:t>
            </w:r>
          </w:p>
        </w:tc>
        <w:tc>
          <w:tcPr>
            <w:tcW w:type="dxa" w:w="2616"/>
            <w:tcBorders>
              <w:top w:val="single" w:color="DDE1EA" w:sz="4"/>
              <w:left w:val="single" w:color="DDE1EA" w:sz="4"/>
              <w:bottom w:val="single" w:color="DDE1EA" w:sz="4"/>
              <w:right w:val="single" w:color="DDE1EA" w:sz="4"/>
            </w:tcBorders>
            <w:shd w:fill="FFFFFF" w:val="clear"/>
            <w:tcMar>
              <w:top w:type="dxa" w:w="80"/>
              <w:left w:type="dxa" w:w="120"/>
              <w:bottom w:type="dxa" w:w="80"/>
              <w:right w:type="dxa" w:w="120"/>
            </w:tcMar>
          </w:tcPr>
          <w:p>
            <w:r>
              <w:rPr>
                <w:rFonts w:ascii="Arial" w:cs="Arial" w:eastAsia="Arial" w:hAnsi="Arial"/>
                <w:b w:val="false"/>
                <w:bCs w:val="false"/>
                <w:color w:val="3A4A5A"/>
                <w:sz w:val="18"/>
                <w:szCs w:val="18"/>
              </w:rPr>
              <w:t xml:space="preserve"/>
            </w:r>
          </w:p>
        </w:tc>
      </w:tr>
      <w:tr>
        <w:tc>
          <w:tcPr>
            <w:tcW w:type="dxa" w:w="2616"/>
            <w:tcBorders>
              <w:top w:val="single" w:color="DDE1EA" w:sz="4"/>
              <w:left w:val="single" w:color="DDE1EA" w:sz="4"/>
              <w:bottom w:val="single" w:color="DDE1EA" w:sz="4"/>
              <w:right w:val="single" w:color="DDE1EA" w:sz="4"/>
            </w:tcBorders>
            <w:shd w:fill="F4F6FA" w:val="clear"/>
            <w:tcMar>
              <w:top w:type="dxa" w:w="80"/>
              <w:left w:type="dxa" w:w="120"/>
              <w:bottom w:type="dxa" w:w="80"/>
              <w:right w:type="dxa" w:w="120"/>
            </w:tcMar>
          </w:tcPr>
          <w:p>
            <w:r>
              <w:rPr>
                <w:rFonts w:ascii="Arial" w:cs="Arial" w:eastAsia="Arial" w:hAnsi="Arial"/>
                <w:b w:val="false"/>
                <w:bCs w:val="false"/>
                <w:color w:val="5A6A7A"/>
                <w:sz w:val="18"/>
                <w:szCs w:val="18"/>
              </w:rPr>
              <w:t xml:space="preserve">Approved by</w:t>
            </w:r>
          </w:p>
        </w:tc>
        <w:tc>
          <w:tcPr>
            <w:tcW w:type="dxa" w:w="2617"/>
            <w:tcBorders>
              <w:top w:val="single" w:color="DDE1EA" w:sz="4"/>
              <w:left w:val="single" w:color="DDE1EA" w:sz="4"/>
              <w:bottom w:val="single" w:color="DDE1EA" w:sz="4"/>
              <w:right w:val="single" w:color="DDE1EA" w:sz="4"/>
            </w:tcBorders>
            <w:shd w:fill="F4F6FA" w:val="clear"/>
            <w:tcMar>
              <w:top w:type="dxa" w:w="80"/>
              <w:left w:type="dxa" w:w="120"/>
              <w:bottom w:type="dxa" w:w="80"/>
              <w:right w:type="dxa" w:w="120"/>
            </w:tcMar>
          </w:tcPr>
          <w:p>
            <w:r>
              <w:rPr>
                <w:rFonts w:ascii="Arial" w:cs="Arial" w:eastAsia="Arial" w:hAnsi="Arial"/>
                <w:b w:val="false"/>
                <w:bCs w:val="false"/>
                <w:color w:val="3A4A5A"/>
                <w:sz w:val="18"/>
                <w:szCs w:val="18"/>
              </w:rPr>
              <w:t xml:space="preserve">Management</w:t>
            </w:r>
          </w:p>
        </w:tc>
        <w:tc>
          <w:tcPr>
            <w:tcW w:type="dxa" w:w="2617"/>
            <w:tcBorders>
              <w:top w:val="single" w:color="DDE1EA" w:sz="4"/>
              <w:left w:val="single" w:color="DDE1EA" w:sz="4"/>
              <w:bottom w:val="single" w:color="DDE1EA" w:sz="4"/>
              <w:right w:val="single" w:color="DDE1EA" w:sz="4"/>
            </w:tcBorders>
            <w:shd w:fill="F4F6FA" w:val="clear"/>
            <w:tcMar>
              <w:top w:type="dxa" w:w="80"/>
              <w:left w:type="dxa" w:w="120"/>
              <w:bottom w:type="dxa" w:w="80"/>
              <w:right w:type="dxa" w:w="120"/>
            </w:tcMar>
          </w:tcPr>
          <w:p>
            <w:r>
              <w:rPr>
                <w:rFonts w:ascii="Arial" w:cs="Arial" w:eastAsia="Arial" w:hAnsi="Arial"/>
                <w:b w:val="false"/>
                <w:bCs w:val="false"/>
                <w:color w:val="3A4A5A"/>
                <w:sz w:val="18"/>
                <w:szCs w:val="18"/>
              </w:rPr>
              <w:t xml:space="preserve">Managing Director</w:t>
            </w:r>
          </w:p>
        </w:tc>
        <w:tc>
          <w:tcPr>
            <w:tcW w:type="dxa" w:w="2616"/>
            <w:tcBorders>
              <w:top w:val="single" w:color="DDE1EA" w:sz="4"/>
              <w:left w:val="single" w:color="DDE1EA" w:sz="4"/>
              <w:bottom w:val="single" w:color="DDE1EA" w:sz="4"/>
              <w:right w:val="single" w:color="DDE1EA" w:sz="4"/>
            </w:tcBorders>
            <w:shd w:fill="F4F6FA" w:val="clear"/>
            <w:tcMar>
              <w:top w:type="dxa" w:w="80"/>
              <w:left w:type="dxa" w:w="120"/>
              <w:bottom w:type="dxa" w:w="80"/>
              <w:right w:type="dxa" w:w="120"/>
            </w:tcMar>
          </w:tcPr>
          <w:p>
            <w:r>
              <w:rPr>
                <w:rFonts w:ascii="Arial" w:cs="Arial" w:eastAsia="Arial" w:hAnsi="Arial"/>
                <w:b w:val="false"/>
                <w:bCs w:val="false"/>
                <w:color w:val="3A4A5A"/>
                <w:sz w:val="18"/>
                <w:szCs w:val="18"/>
              </w:rPr>
              <w:t xml:space="preserve"/>
            </w:r>
          </w:p>
        </w:tc>
      </w:tr>
    </w:tbl>
    <w:p>
      <w:pPr>
        <w:spacing w:after="0" w:before="200"/>
      </w:pPr>
    </w:p>
    <w:p>
      <w:pPr>
        <w:pStyle w:val="Heading2"/>
      </w:pPr>
      <w:r>
        <w:t xml:space="preserve">1. Introduction</w:t>
      </w:r>
    </w:p>
    <w:p>
      <w:pPr>
        <w:spacing w:after="60" w:before="60"/>
      </w:pPr>
      <w:r>
        <w:rPr>
          <w:rFonts w:ascii="Arial" w:cs="Arial" w:eastAsia="Arial" w:hAnsi="Arial"/>
          <w:b w:val="false"/>
          <w:bCs w:val="false"/>
          <w:color w:val="3A4A5A"/>
          <w:sz w:val="22"/>
          <w:szCs w:val="22"/>
        </w:rPr>
        <w:t xml:space="preserve">This policy governs the termination of employment relationships between employees and Jera Consulting, whether by resignation, dismissal, retirement, or other circumstances. The policy ensures compliance with applicable South African labour legislation and protects both employee and employer interests.</w:t>
      </w:r>
    </w:p>
    <w:p>
      <w:pPr>
        <w:pStyle w:val="Heading2"/>
      </w:pPr>
      <w:r>
        <w:t xml:space="preserve">2. Objective</w:t>
      </w:r>
    </w:p>
    <w:p>
      <w:pPr>
        <w:spacing w:after="60" w:before="60"/>
      </w:pPr>
      <w:r>
        <w:rPr>
          <w:rFonts w:ascii="Arial" w:cs="Arial" w:eastAsia="Arial" w:hAnsi="Arial"/>
          <w:b w:val="false"/>
          <w:bCs w:val="false"/>
          <w:color w:val="3A4A5A"/>
          <w:sz w:val="22"/>
          <w:szCs w:val="22"/>
        </w:rPr>
        <w:t xml:space="preserve">To establish clear procedures for the termination of employment, ensuring fair treatment, legal compliance, and orderly transition of employee responsibilities.</w:t>
      </w:r>
    </w:p>
    <w:p>
      <w:pPr>
        <w:pStyle w:val="Heading2"/>
      </w:pPr>
      <w:r>
        <w:t xml:space="preserve">3. Scope</w:t>
      </w:r>
    </w:p>
    <w:p>
      <w:pPr>
        <w:spacing w:after="60" w:before="60"/>
      </w:pPr>
      <w:r>
        <w:rPr>
          <w:rFonts w:ascii="Arial" w:cs="Arial" w:eastAsia="Arial" w:hAnsi="Arial"/>
          <w:b w:val="false"/>
          <w:bCs w:val="false"/>
          <w:color w:val="3A4A5A"/>
          <w:sz w:val="22"/>
          <w:szCs w:val="22"/>
        </w:rPr>
        <w:t xml:space="preserve">This policy applies to all employees of Jera Consulting, including permanent, fixed-term, and probationary employees.</w:t>
      </w:r>
    </w:p>
    <w:p>
      <w:pPr>
        <w:pStyle w:val="Heading2"/>
      </w:pPr>
      <w:r>
        <w:t xml:space="preserve">4. Applicable Legislation</w:t>
      </w:r>
    </w:p>
    <w:p>
      <w:pPr>
        <w:spacing w:after="60" w:before="60"/>
      </w:pPr>
      <w:r>
        <w:rPr>
          <w:rFonts w:ascii="Arial" w:cs="Arial" w:eastAsia="Arial" w:hAnsi="Arial"/>
          <w:b w:val="false"/>
          <w:bCs w:val="false"/>
          <w:color w:val="3A4A5A"/>
          <w:sz w:val="22"/>
          <w:szCs w:val="22"/>
        </w:rPr>
        <w:t xml:space="preserve">This policy operates within the framework of:</w:t>
      </w:r>
    </w:p>
    <w:p>
      <w:pPr>
        <w:pStyle w:val="ListParagraph"/>
        <w:numPr>
          <w:ilvl w:val="0"/>
          <w:numId w:val="2"/>
        </w:numPr>
      </w:pPr>
      <w:r>
        <w:rPr>
          <w:rFonts w:ascii="Arial" w:cs="Arial" w:eastAsia="Arial" w:hAnsi="Arial"/>
          <w:color w:val="3A4A5A"/>
          <w:sz w:val="22"/>
          <w:szCs w:val="22"/>
        </w:rPr>
        <w:t xml:space="preserve">Basic Conditions of Employment Act, 75 of 1997 (BCEA) - notice periods, final payment.</w:t>
      </w:r>
    </w:p>
    <w:p>
      <w:pPr>
        <w:pStyle w:val="ListParagraph"/>
        <w:numPr>
          <w:ilvl w:val="0"/>
          <w:numId w:val="2"/>
        </w:numPr>
      </w:pPr>
      <w:r>
        <w:rPr>
          <w:rFonts w:ascii="Arial" w:cs="Arial" w:eastAsia="Arial" w:hAnsi="Arial"/>
          <w:color w:val="3A4A5A"/>
          <w:sz w:val="22"/>
          <w:szCs w:val="22"/>
        </w:rPr>
        <w:t xml:space="preserve">Labour Relations Act, 66 of 1995 (LRA) - dismissal fairness, referrals to CCMA.</w:t>
      </w:r>
    </w:p>
    <w:p>
      <w:pPr>
        <w:pStyle w:val="ListParagraph"/>
        <w:numPr>
          <w:ilvl w:val="0"/>
          <w:numId w:val="2"/>
        </w:numPr>
      </w:pPr>
      <w:r>
        <w:rPr>
          <w:rFonts w:ascii="Arial" w:cs="Arial" w:eastAsia="Arial" w:hAnsi="Arial"/>
          <w:color w:val="3A4A5A"/>
          <w:sz w:val="22"/>
          <w:szCs w:val="22"/>
        </w:rPr>
        <w:t xml:space="preserve">Employment Equity Act, 55 of 1998 (EEA) - discrimination protections.</w:t>
      </w:r>
    </w:p>
    <w:p>
      <w:pPr>
        <w:pStyle w:val="ListParagraph"/>
        <w:numPr>
          <w:ilvl w:val="0"/>
          <w:numId w:val="2"/>
        </w:numPr>
      </w:pPr>
      <w:r>
        <w:rPr>
          <w:rFonts w:ascii="Arial" w:cs="Arial" w:eastAsia="Arial" w:hAnsi="Arial"/>
          <w:color w:val="3A4A5A"/>
          <w:sz w:val="22"/>
          <w:szCs w:val="22"/>
        </w:rPr>
        <w:t xml:space="preserve">Protection of Personal Information Act, 4 of 2013 (POPIA) - data handling on termination.</w:t>
      </w:r>
    </w:p>
    <w:p>
      <w:pPr>
        <w:pStyle w:val="Heading2"/>
      </w:pPr>
      <w:r>
        <w:t xml:space="preserve">5. Types of Termination</w:t>
      </w:r>
    </w:p>
    <w:p>
      <w:pPr>
        <w:pStyle w:val="Heading3"/>
      </w:pPr>
      <w:r>
        <w:t xml:space="preserve">5.1 Resignation</w:t>
      </w:r>
    </w:p>
    <w:p>
      <w:pPr>
        <w:spacing w:after="60" w:before="60"/>
      </w:pPr>
      <w:r>
        <w:rPr>
          <w:rFonts w:ascii="Arial" w:cs="Arial" w:eastAsia="Arial" w:hAnsi="Arial"/>
          <w:b w:val="false"/>
          <w:bCs w:val="false"/>
          <w:color w:val="3A4A5A"/>
          <w:sz w:val="22"/>
          <w:szCs w:val="22"/>
        </w:rPr>
        <w:t xml:space="preserve">An employee may resign by providing written notice to their manager and HR.</w:t>
      </w:r>
    </w:p>
    <w:p>
      <w:pPr>
        <w:spacing w:after="60" w:before="60"/>
      </w:pPr>
      <w:r>
        <w:rPr>
          <w:rFonts w:ascii="Arial" w:cs="Arial" w:eastAsia="Arial" w:hAnsi="Arial"/>
          <w:b w:val="false"/>
          <w:bCs w:val="false"/>
          <w:color w:val="3A4A5A"/>
          <w:sz w:val="22"/>
          <w:szCs w:val="22"/>
        </w:rPr>
        <w:t xml:space="preserve">Notice periods as per BCEA s37:</w:t>
      </w:r>
    </w:p>
    <w:p>
      <w:pPr>
        <w:pStyle w:val="ListParagraph"/>
        <w:numPr>
          <w:ilvl w:val="0"/>
          <w:numId w:val="2"/>
        </w:numPr>
      </w:pPr>
      <w:r>
        <w:rPr>
          <w:rFonts w:ascii="Arial" w:cs="Arial" w:eastAsia="Arial" w:hAnsi="Arial"/>
          <w:color w:val="3A4A5A"/>
          <w:sz w:val="22"/>
          <w:szCs w:val="22"/>
        </w:rPr>
        <w:t xml:space="preserve">Less than 6 months service: 1 week's notice.</w:t>
      </w:r>
    </w:p>
    <w:p>
      <w:pPr>
        <w:pStyle w:val="ListParagraph"/>
        <w:numPr>
          <w:ilvl w:val="0"/>
          <w:numId w:val="2"/>
        </w:numPr>
      </w:pPr>
      <w:r>
        <w:rPr>
          <w:rFonts w:ascii="Arial" w:cs="Arial" w:eastAsia="Arial" w:hAnsi="Arial"/>
          <w:color w:val="3A4A5A"/>
          <w:sz w:val="22"/>
          <w:szCs w:val="22"/>
        </w:rPr>
        <w:t xml:space="preserve">6 to 12 months service: 2 weeks' notice.</w:t>
      </w:r>
    </w:p>
    <w:p>
      <w:pPr>
        <w:pStyle w:val="ListParagraph"/>
        <w:numPr>
          <w:ilvl w:val="0"/>
          <w:numId w:val="2"/>
        </w:numPr>
      </w:pPr>
      <w:r>
        <w:rPr>
          <w:rFonts w:ascii="Arial" w:cs="Arial" w:eastAsia="Arial" w:hAnsi="Arial"/>
          <w:color w:val="3A4A5A"/>
          <w:sz w:val="22"/>
          <w:szCs w:val="22"/>
        </w:rPr>
        <w:t xml:space="preserve">More than 1 year service: 4 weeks' notice.</w:t>
      </w:r>
    </w:p>
    <w:p>
      <w:pPr>
        <w:spacing w:after="60" w:before="60"/>
      </w:pPr>
      <w:r>
        <w:rPr>
          <w:rFonts w:ascii="Arial" w:cs="Arial" w:eastAsia="Arial" w:hAnsi="Arial"/>
          <w:b w:val="false"/>
          <w:bCs w:val="false"/>
          <w:color w:val="3A4A5A"/>
          <w:sz w:val="22"/>
          <w:szCs w:val="22"/>
        </w:rPr>
        <w:t xml:space="preserve">Resignation effective from the date the notice period expires. Resignation may be withdrawn in writing before the notice period expires, at the discretion of the company.</w:t>
      </w:r>
    </w:p>
    <w:p>
      <w:pPr>
        <w:pStyle w:val="Heading3"/>
      </w:pPr>
      <w:r>
        <w:t xml:space="preserve">5.2 Dismissal</w:t>
      </w:r>
    </w:p>
    <w:p>
      <w:pPr>
        <w:spacing w:after="60" w:before="60"/>
      </w:pPr>
      <w:r>
        <w:rPr>
          <w:rFonts w:ascii="Arial" w:cs="Arial" w:eastAsia="Arial" w:hAnsi="Arial"/>
          <w:b w:val="false"/>
          <w:bCs w:val="false"/>
          <w:color w:val="3A4A5A"/>
          <w:sz w:val="22"/>
          <w:szCs w:val="22"/>
        </w:rPr>
        <w:t xml:space="preserve">Dismissal is termination by the employer. Requires:</w:t>
      </w:r>
    </w:p>
    <w:p>
      <w:pPr>
        <w:pStyle w:val="ListParagraph"/>
        <w:numPr>
          <w:ilvl w:val="0"/>
          <w:numId w:val="2"/>
        </w:numPr>
      </w:pPr>
      <w:r>
        <w:rPr>
          <w:rFonts w:ascii="Arial" w:cs="Arial" w:eastAsia="Arial" w:hAnsi="Arial"/>
          <w:color w:val="3A4A5A"/>
          <w:sz w:val="22"/>
          <w:szCs w:val="22"/>
        </w:rPr>
        <w:t xml:space="preserve">Fair reason (e.g., misconduct, incapacity, operational requirements).</w:t>
      </w:r>
    </w:p>
    <w:p>
      <w:pPr>
        <w:pStyle w:val="ListParagraph"/>
        <w:numPr>
          <w:ilvl w:val="0"/>
          <w:numId w:val="2"/>
        </w:numPr>
      </w:pPr>
      <w:r>
        <w:rPr>
          <w:rFonts w:ascii="Arial" w:cs="Arial" w:eastAsia="Arial" w:hAnsi="Arial"/>
          <w:color w:val="3A4A5A"/>
          <w:sz w:val="22"/>
          <w:szCs w:val="22"/>
        </w:rPr>
        <w:t xml:space="preserve">Fair procedure (disciplinary hearing or consultation as appropriate).</w:t>
      </w:r>
    </w:p>
    <w:p>
      <w:pPr>
        <w:pStyle w:val="ListParagraph"/>
        <w:numPr>
          <w:ilvl w:val="0"/>
          <w:numId w:val="2"/>
        </w:numPr>
      </w:pPr>
      <w:r>
        <w:rPr>
          <w:rFonts w:ascii="Arial" w:cs="Arial" w:eastAsia="Arial" w:hAnsi="Arial"/>
          <w:color w:val="3A4A5A"/>
          <w:sz w:val="22"/>
          <w:szCs w:val="22"/>
        </w:rPr>
        <w:t xml:space="preserve">Compliance with notice periods or payment in lieu.</w:t>
      </w:r>
    </w:p>
    <w:p>
      <w:pPr>
        <w:spacing w:after="60" w:before="60"/>
      </w:pPr>
      <w:r>
        <w:rPr>
          <w:rFonts w:ascii="Arial" w:cs="Arial" w:eastAsia="Arial" w:hAnsi="Arial"/>
          <w:b w:val="false"/>
          <w:bCs w:val="false"/>
          <w:color w:val="3A4A5A"/>
          <w:sz w:val="22"/>
          <w:szCs w:val="22"/>
        </w:rPr>
        <w:t xml:space="preserve">Unfair dismissal may be challenged at the CCMA within 30 days.</w:t>
      </w:r>
    </w:p>
    <w:p>
      <w:pPr>
        <w:pStyle w:val="Heading3"/>
      </w:pPr>
      <w:r>
        <w:t xml:space="preserve">5.3 Retirement</w:t>
      </w:r>
    </w:p>
    <w:p>
      <w:pPr>
        <w:spacing w:after="60" w:before="60"/>
      </w:pPr>
      <w:r>
        <w:rPr>
          <w:rFonts w:ascii="Arial" w:cs="Arial" w:eastAsia="Arial" w:hAnsi="Arial"/>
          <w:b w:val="false"/>
          <w:bCs w:val="false"/>
          <w:color w:val="3A4A5A"/>
          <w:sz w:val="22"/>
          <w:szCs w:val="22"/>
        </w:rPr>
        <w:t xml:space="preserve">Retirement is voluntary termination by an employee at the end of their working life.</w:t>
      </w:r>
    </w:p>
    <w:p>
      <w:pPr>
        <w:spacing w:after="60" w:before="60"/>
      </w:pPr>
      <w:r>
        <w:rPr>
          <w:rFonts w:ascii="Arial" w:cs="Arial" w:eastAsia="Arial" w:hAnsi="Arial"/>
          <w:b w:val="false"/>
          <w:bCs w:val="false"/>
          <w:color w:val="3A4A5A"/>
          <w:sz w:val="22"/>
          <w:szCs w:val="22"/>
        </w:rPr>
        <w:t xml:space="preserve">South African law does not mandate a fixed retirement age; retirement age is determined by employment contract (typically 60-65). Employer and employee may agree to vary the retirement age contractually.</w:t>
      </w:r>
    </w:p>
    <w:p>
      <w:pPr>
        <w:spacing w:after="60" w:before="60"/>
      </w:pPr>
      <w:r>
        <w:rPr>
          <w:rFonts w:ascii="Arial" w:cs="Arial" w:eastAsia="Arial" w:hAnsi="Arial"/>
          <w:b w:val="false"/>
          <w:bCs w:val="false"/>
          <w:color w:val="3A4A5A"/>
          <w:sz w:val="22"/>
          <w:szCs w:val="22"/>
        </w:rPr>
        <w:t xml:space="preserve">Retirement benefits (pension, provident fund) disbursed in accordance with fund rules.</w:t>
      </w:r>
    </w:p>
    <w:p>
      <w:pPr>
        <w:pStyle w:val="Heading3"/>
      </w:pPr>
      <w:r>
        <w:t xml:space="preserve">5.4 Other Termination</w:t>
      </w:r>
    </w:p>
    <w:p>
      <w:pPr>
        <w:spacing w:after="60" w:before="60"/>
      </w:pPr>
      <w:r>
        <w:rPr>
          <w:rFonts w:ascii="Arial" w:cs="Arial" w:eastAsia="Arial" w:hAnsi="Arial"/>
          <w:b w:val="false"/>
          <w:bCs w:val="false"/>
          <w:color w:val="3A4A5A"/>
          <w:sz w:val="22"/>
          <w:szCs w:val="22"/>
        </w:rPr>
        <w:t xml:space="preserve">Includes:</w:t>
      </w:r>
    </w:p>
    <w:p>
      <w:pPr>
        <w:pStyle w:val="ListParagraph"/>
        <w:numPr>
          <w:ilvl w:val="0"/>
          <w:numId w:val="2"/>
        </w:numPr>
      </w:pPr>
      <w:r>
        <w:rPr>
          <w:rFonts w:ascii="Arial" w:cs="Arial" w:eastAsia="Arial" w:hAnsi="Arial"/>
          <w:color w:val="3A4A5A"/>
          <w:sz w:val="22"/>
          <w:szCs w:val="22"/>
        </w:rPr>
        <w:t xml:space="preserve">Death of employee (immediate termination).</w:t>
      </w:r>
    </w:p>
    <w:p>
      <w:pPr>
        <w:pStyle w:val="ListParagraph"/>
        <w:numPr>
          <w:ilvl w:val="0"/>
          <w:numId w:val="2"/>
        </w:numPr>
      </w:pPr>
      <w:r>
        <w:rPr>
          <w:rFonts w:ascii="Arial" w:cs="Arial" w:eastAsia="Arial" w:hAnsi="Arial"/>
          <w:color w:val="3A4A5A"/>
          <w:sz w:val="22"/>
          <w:szCs w:val="22"/>
        </w:rPr>
        <w:t xml:space="preserve">Abscondment (absence without leave exceeding 30 days treated as abandonment; employer may terminate after investigation).</w:t>
      </w:r>
    </w:p>
    <w:p>
      <w:pPr>
        <w:pStyle w:val="ListParagraph"/>
        <w:numPr>
          <w:ilvl w:val="0"/>
          <w:numId w:val="2"/>
        </w:numPr>
      </w:pPr>
      <w:r>
        <w:rPr>
          <w:rFonts w:ascii="Arial" w:cs="Arial" w:eastAsia="Arial" w:hAnsi="Arial"/>
          <w:color w:val="3A4A5A"/>
          <w:sz w:val="22"/>
          <w:szCs w:val="22"/>
        </w:rPr>
        <w:t xml:space="preserve">Desertion (employee indicates intention to abandon employment).</w:t>
      </w:r>
    </w:p>
    <w:p>
      <w:pPr>
        <w:pStyle w:val="ListParagraph"/>
        <w:numPr>
          <w:ilvl w:val="0"/>
          <w:numId w:val="2"/>
        </w:numPr>
      </w:pPr>
      <w:r>
        <w:rPr>
          <w:rFonts w:ascii="Arial" w:cs="Arial" w:eastAsia="Arial" w:hAnsi="Arial"/>
          <w:color w:val="3A4A5A"/>
          <w:sz w:val="22"/>
          <w:szCs w:val="22"/>
        </w:rPr>
        <w:t xml:space="preserve">Mutual agreement to terminate (requires written agreement).</w:t>
      </w:r>
    </w:p>
    <w:p>
      <w:pPr>
        <w:pStyle w:val="Heading2"/>
      </w:pPr>
      <w:r>
        <w:t xml:space="preserve">6. Notice and Notice Periods</w:t>
      </w:r>
    </w:p>
    <w:p>
      <w:pPr>
        <w:pStyle w:val="Heading3"/>
      </w:pPr>
      <w:r>
        <w:t xml:space="preserve">6.1 Notice Requirement</w:t>
      </w:r>
    </w:p>
    <w:p>
      <w:pPr>
        <w:spacing w:after="60" w:before="60"/>
      </w:pPr>
      <w:r>
        <w:rPr>
          <w:rFonts w:ascii="Arial" w:cs="Arial" w:eastAsia="Arial" w:hAnsi="Arial"/>
          <w:b w:val="false"/>
          <w:bCs w:val="false"/>
          <w:color w:val="3A4A5A"/>
          <w:sz w:val="22"/>
          <w:szCs w:val="22"/>
        </w:rPr>
        <w:t xml:space="preserve">Termination by either party must be communicated in writing to the other party, unless immediate termination applies (summary dismissal for gross misconduct).</w:t>
      </w:r>
    </w:p>
    <w:p>
      <w:pPr>
        <w:pStyle w:val="Heading3"/>
      </w:pPr>
      <w:r>
        <w:t xml:space="preserve">6.2 Notice Periods (BCEA s37)</w:t>
      </w:r>
    </w:p>
    <w:p>
      <w:pPr>
        <w:spacing w:after="60" w:before="60"/>
      </w:pPr>
      <w:r>
        <w:rPr>
          <w:rFonts w:ascii="Arial" w:cs="Arial" w:eastAsia="Arial" w:hAnsi="Arial"/>
          <w:b w:val="false"/>
          <w:bCs w:val="false"/>
          <w:color w:val="3A4A5A"/>
          <w:sz w:val="22"/>
          <w:szCs w:val="22"/>
        </w:rPr>
        <w:t xml:space="preserve">Standard notice periods:</w:t>
      </w:r>
    </w:p>
    <w:p>
      <w:pPr>
        <w:pStyle w:val="ListParagraph"/>
        <w:numPr>
          <w:ilvl w:val="0"/>
          <w:numId w:val="2"/>
        </w:numPr>
      </w:pPr>
      <w:r>
        <w:rPr>
          <w:rFonts w:ascii="Arial" w:cs="Arial" w:eastAsia="Arial" w:hAnsi="Arial"/>
          <w:color w:val="3A4A5A"/>
          <w:sz w:val="22"/>
          <w:szCs w:val="22"/>
        </w:rPr>
        <w:t xml:space="preserve">Less than 6 months service: 1 week.</w:t>
      </w:r>
    </w:p>
    <w:p>
      <w:pPr>
        <w:pStyle w:val="ListParagraph"/>
        <w:numPr>
          <w:ilvl w:val="0"/>
          <w:numId w:val="2"/>
        </w:numPr>
      </w:pPr>
      <w:r>
        <w:rPr>
          <w:rFonts w:ascii="Arial" w:cs="Arial" w:eastAsia="Arial" w:hAnsi="Arial"/>
          <w:color w:val="3A4A5A"/>
          <w:sz w:val="22"/>
          <w:szCs w:val="22"/>
        </w:rPr>
        <w:t xml:space="preserve">6 months to 12 months service: 2 weeks.</w:t>
      </w:r>
    </w:p>
    <w:p>
      <w:pPr>
        <w:pStyle w:val="ListParagraph"/>
        <w:numPr>
          <w:ilvl w:val="0"/>
          <w:numId w:val="2"/>
        </w:numPr>
      </w:pPr>
      <w:r>
        <w:rPr>
          <w:rFonts w:ascii="Arial" w:cs="Arial" w:eastAsia="Arial" w:hAnsi="Arial"/>
          <w:color w:val="3A4A5A"/>
          <w:sz w:val="22"/>
          <w:szCs w:val="22"/>
        </w:rPr>
        <w:t xml:space="preserve">12 months or longer service: 4 weeks.</w:t>
      </w:r>
    </w:p>
    <w:p>
      <w:pPr>
        <w:spacing w:after="60" w:before="60"/>
      </w:pPr>
      <w:r>
        <w:rPr>
          <w:rFonts w:ascii="Arial" w:cs="Arial" w:eastAsia="Arial" w:hAnsi="Arial"/>
          <w:b w:val="false"/>
          <w:bCs w:val="false"/>
          <w:color w:val="3A4A5A"/>
          <w:sz w:val="22"/>
          <w:szCs w:val="22"/>
        </w:rPr>
        <w:t xml:space="preserve">Notice periods commence from the date of receipt of notice. Notice may be given on any day of the week.</w:t>
      </w:r>
    </w:p>
    <w:p>
      <w:pPr>
        <w:pStyle w:val="Heading3"/>
      </w:pPr>
      <w:r>
        <w:t xml:space="preserve">6.3 Payment in Lieu of Notice</w:t>
      </w:r>
    </w:p>
    <w:p>
      <w:pPr>
        <w:spacing w:after="60" w:before="60"/>
      </w:pPr>
      <w:r>
        <w:rPr>
          <w:rFonts w:ascii="Arial" w:cs="Arial" w:eastAsia="Arial" w:hAnsi="Arial"/>
          <w:b w:val="false"/>
          <w:bCs w:val="false"/>
          <w:color w:val="3A4A5A"/>
          <w:sz w:val="22"/>
          <w:szCs w:val="22"/>
        </w:rPr>
        <w:t xml:space="preserve">Employer may pay the employee in lieu of working the notice period, provided the employee agrees or the employment contract permits. Payment calculated as ordinary remuneration for the notice period.</w:t>
      </w:r>
    </w:p>
    <w:p>
      <w:pPr>
        <w:pStyle w:val="Heading3"/>
      </w:pPr>
      <w:r>
        <w:t xml:space="preserve">6.4 Garden Leave</w:t>
      </w:r>
    </w:p>
    <w:p>
      <w:pPr>
        <w:spacing w:after="60" w:before="60"/>
      </w:pPr>
      <w:r>
        <w:rPr>
          <w:rFonts w:ascii="Arial" w:cs="Arial" w:eastAsia="Arial" w:hAnsi="Arial"/>
          <w:b w:val="false"/>
          <w:bCs w:val="false"/>
          <w:color w:val="3A4A5A"/>
          <w:sz w:val="22"/>
          <w:szCs w:val="22"/>
        </w:rPr>
        <w:t xml:space="preserve">During notice period, employer may direct employee to remain away from the workplace while continuing to pay salary and benefits. This is permissible where:</w:t>
      </w:r>
    </w:p>
    <w:p>
      <w:pPr>
        <w:pStyle w:val="ListParagraph"/>
        <w:numPr>
          <w:ilvl w:val="0"/>
          <w:numId w:val="2"/>
        </w:numPr>
      </w:pPr>
      <w:r>
        <w:rPr>
          <w:rFonts w:ascii="Arial" w:cs="Arial" w:eastAsia="Arial" w:hAnsi="Arial"/>
          <w:color w:val="3A4A5A"/>
          <w:sz w:val="22"/>
          <w:szCs w:val="22"/>
        </w:rPr>
        <w:t xml:space="preserve">Protecting confidential information.</w:t>
      </w:r>
    </w:p>
    <w:p>
      <w:pPr>
        <w:pStyle w:val="ListParagraph"/>
        <w:numPr>
          <w:ilvl w:val="0"/>
          <w:numId w:val="2"/>
        </w:numPr>
      </w:pPr>
      <w:r>
        <w:rPr>
          <w:rFonts w:ascii="Arial" w:cs="Arial" w:eastAsia="Arial" w:hAnsi="Arial"/>
          <w:color w:val="3A4A5A"/>
          <w:sz w:val="22"/>
          <w:szCs w:val="22"/>
        </w:rPr>
        <w:t xml:space="preserve">Preventing disruption or distraction of other employees.</w:t>
      </w:r>
    </w:p>
    <w:p>
      <w:pPr>
        <w:pStyle w:val="ListParagraph"/>
        <w:numPr>
          <w:ilvl w:val="0"/>
          <w:numId w:val="2"/>
        </w:numPr>
      </w:pPr>
      <w:r>
        <w:rPr>
          <w:rFonts w:ascii="Arial" w:cs="Arial" w:eastAsia="Arial" w:hAnsi="Arial"/>
          <w:color w:val="3A4A5A"/>
          <w:sz w:val="22"/>
          <w:szCs w:val="22"/>
        </w:rPr>
        <w:t xml:space="preserve">Preventing damage to business relationships or reputation.</w:t>
      </w:r>
    </w:p>
    <w:p>
      <w:pPr>
        <w:spacing w:after="60" w:before="60"/>
      </w:pPr>
      <w:r>
        <w:rPr>
          <w:rFonts w:ascii="Arial" w:cs="Arial" w:eastAsia="Arial" w:hAnsi="Arial"/>
          <w:b w:val="false"/>
          <w:bCs w:val="false"/>
          <w:color w:val="3A4A5A"/>
          <w:sz w:val="22"/>
          <w:szCs w:val="22"/>
        </w:rPr>
        <w:t xml:space="preserve">Garden leave must be compensated fully (no salary reduction).</w:t>
      </w:r>
    </w:p>
    <w:p>
      <w:pPr>
        <w:pStyle w:val="Heading2"/>
      </w:pPr>
      <w:r>
        <w:t xml:space="preserve">7. Final Payment</w:t>
      </w:r>
    </w:p>
    <w:p>
      <w:pPr>
        <w:spacing w:after="60" w:before="60"/>
      </w:pPr>
      <w:r>
        <w:rPr>
          <w:rFonts w:ascii="Arial" w:cs="Arial" w:eastAsia="Arial" w:hAnsi="Arial"/>
          <w:b w:val="false"/>
          <w:bCs w:val="false"/>
          <w:color w:val="3A4A5A"/>
          <w:sz w:val="22"/>
          <w:szCs w:val="22"/>
        </w:rPr>
        <w:t xml:space="preserve">In accordance with BCEA s33, final payment must be made within 7 days of termination date and must include:</w:t>
      </w:r>
    </w:p>
    <w:p>
      <w:pPr>
        <w:pStyle w:val="ListParagraph"/>
        <w:numPr>
          <w:ilvl w:val="0"/>
          <w:numId w:val="2"/>
        </w:numPr>
      </w:pPr>
      <w:r>
        <w:rPr>
          <w:rFonts w:ascii="Arial" w:cs="Arial" w:eastAsia="Arial" w:hAnsi="Arial"/>
          <w:color w:val="3A4A5A"/>
          <w:sz w:val="22"/>
          <w:szCs w:val="22"/>
        </w:rPr>
        <w:t xml:space="preserve">Accrued salary to date of termination.</w:t>
      </w:r>
    </w:p>
    <w:p>
      <w:pPr>
        <w:pStyle w:val="ListParagraph"/>
        <w:numPr>
          <w:ilvl w:val="0"/>
          <w:numId w:val="2"/>
        </w:numPr>
      </w:pPr>
      <w:r>
        <w:rPr>
          <w:rFonts w:ascii="Arial" w:cs="Arial" w:eastAsia="Arial" w:hAnsi="Arial"/>
          <w:color w:val="3A4A5A"/>
          <w:sz w:val="22"/>
          <w:szCs w:val="22"/>
        </w:rPr>
        <w:t xml:space="preserve">Accrued annual leave (if not taken).</w:t>
      </w:r>
    </w:p>
    <w:p>
      <w:pPr>
        <w:pStyle w:val="ListParagraph"/>
        <w:numPr>
          <w:ilvl w:val="0"/>
          <w:numId w:val="2"/>
        </w:numPr>
      </w:pPr>
      <w:r>
        <w:rPr>
          <w:rFonts w:ascii="Arial" w:cs="Arial" w:eastAsia="Arial" w:hAnsi="Arial"/>
          <w:color w:val="3A4A5A"/>
          <w:sz w:val="22"/>
          <w:szCs w:val="22"/>
        </w:rPr>
        <w:t xml:space="preserve">Accrued sick leave (where company policy provides payout).</w:t>
      </w:r>
    </w:p>
    <w:p>
      <w:pPr>
        <w:pStyle w:val="ListParagraph"/>
        <w:numPr>
          <w:ilvl w:val="0"/>
          <w:numId w:val="2"/>
        </w:numPr>
      </w:pPr>
      <w:r>
        <w:rPr>
          <w:rFonts w:ascii="Arial" w:cs="Arial" w:eastAsia="Arial" w:hAnsi="Arial"/>
          <w:color w:val="3A4A5A"/>
          <w:sz w:val="22"/>
          <w:szCs w:val="22"/>
        </w:rPr>
        <w:t xml:space="preserve">Severance pay (if applicable).</w:t>
      </w:r>
    </w:p>
    <w:p>
      <w:pPr>
        <w:pStyle w:val="ListParagraph"/>
        <w:numPr>
          <w:ilvl w:val="0"/>
          <w:numId w:val="2"/>
        </w:numPr>
      </w:pPr>
      <w:r>
        <w:rPr>
          <w:rFonts w:ascii="Arial" w:cs="Arial" w:eastAsia="Arial" w:hAnsi="Arial"/>
          <w:color w:val="3A4A5A"/>
          <w:sz w:val="22"/>
          <w:szCs w:val="22"/>
        </w:rPr>
        <w:t xml:space="preserve">Any other contractual payments due.</w:t>
      </w:r>
    </w:p>
    <w:p>
      <w:pPr>
        <w:spacing w:after="60" w:before="60"/>
      </w:pPr>
      <w:r>
        <w:rPr>
          <w:rFonts w:ascii="Arial" w:cs="Arial" w:eastAsia="Arial" w:hAnsi="Arial"/>
          <w:b w:val="false"/>
          <w:bCs w:val="false"/>
          <w:color w:val="3A4A5A"/>
          <w:sz w:val="22"/>
          <w:szCs w:val="22"/>
        </w:rPr>
        <w:t xml:space="preserve">Final payment may be subject to deduction of:</w:t>
      </w:r>
    </w:p>
    <w:p>
      <w:pPr>
        <w:pStyle w:val="ListParagraph"/>
        <w:numPr>
          <w:ilvl w:val="0"/>
          <w:numId w:val="2"/>
        </w:numPr>
      </w:pPr>
      <w:r>
        <w:rPr>
          <w:rFonts w:ascii="Arial" w:cs="Arial" w:eastAsia="Arial" w:hAnsi="Arial"/>
          <w:color w:val="3A4A5A"/>
          <w:sz w:val="22"/>
          <w:szCs w:val="22"/>
        </w:rPr>
        <w:t xml:space="preserve">Income tax (as per tax tables).</w:t>
      </w:r>
    </w:p>
    <w:p>
      <w:pPr>
        <w:pStyle w:val="ListParagraph"/>
        <w:numPr>
          <w:ilvl w:val="0"/>
          <w:numId w:val="2"/>
        </w:numPr>
      </w:pPr>
      <w:r>
        <w:rPr>
          <w:rFonts w:ascii="Arial" w:cs="Arial" w:eastAsia="Arial" w:hAnsi="Arial"/>
          <w:color w:val="3A4A5A"/>
          <w:sz w:val="22"/>
          <w:szCs w:val="22"/>
        </w:rPr>
        <w:t xml:space="preserve">Legitimate debts owed by employee to company (with written agreement).</w:t>
      </w:r>
    </w:p>
    <w:p>
      <w:pPr>
        <w:pStyle w:val="ListParagraph"/>
        <w:numPr>
          <w:ilvl w:val="0"/>
          <w:numId w:val="2"/>
        </w:numPr>
      </w:pPr>
      <w:r>
        <w:rPr>
          <w:rFonts w:ascii="Arial" w:cs="Arial" w:eastAsia="Arial" w:hAnsi="Arial"/>
          <w:color w:val="3A4A5A"/>
          <w:sz w:val="22"/>
          <w:szCs w:val="22"/>
        </w:rPr>
        <w:t xml:space="preserve">Court orders or garnishees.</w:t>
      </w:r>
    </w:p>
    <w:p>
      <w:pPr>
        <w:spacing w:after="60" w:before="60"/>
      </w:pPr>
      <w:r>
        <w:rPr>
          <w:rFonts w:ascii="Arial" w:cs="Arial" w:eastAsia="Arial" w:hAnsi="Arial"/>
          <w:b w:val="false"/>
          <w:bCs w:val="false"/>
          <w:color w:val="3A4A5A"/>
          <w:sz w:val="22"/>
          <w:szCs w:val="22"/>
        </w:rPr>
        <w:t xml:space="preserve">A detailed final payslip must be provided itemising all deductions.</w:t>
      </w:r>
    </w:p>
    <w:p>
      <w:pPr>
        <w:pStyle w:val="Heading2"/>
      </w:pPr>
      <w:r>
        <w:t xml:space="preserve">8. Return of Company Property</w:t>
      </w:r>
    </w:p>
    <w:p>
      <w:pPr>
        <w:spacing w:after="60" w:before="60"/>
      </w:pPr>
      <w:r>
        <w:rPr>
          <w:rFonts w:ascii="Arial" w:cs="Arial" w:eastAsia="Arial" w:hAnsi="Arial"/>
          <w:b w:val="false"/>
          <w:bCs w:val="false"/>
          <w:color w:val="3A4A5A"/>
          <w:sz w:val="22"/>
          <w:szCs w:val="22"/>
        </w:rPr>
        <w:t xml:space="preserve">Prior to final payment, employee must return all company property, including:</w:t>
      </w:r>
    </w:p>
    <w:p>
      <w:pPr>
        <w:pStyle w:val="ListParagraph"/>
        <w:numPr>
          <w:ilvl w:val="0"/>
          <w:numId w:val="2"/>
        </w:numPr>
      </w:pPr>
      <w:r>
        <w:rPr>
          <w:rFonts w:ascii="Arial" w:cs="Arial" w:eastAsia="Arial" w:hAnsi="Arial"/>
          <w:color w:val="3A4A5A"/>
          <w:sz w:val="22"/>
          <w:szCs w:val="22"/>
        </w:rPr>
        <w:t xml:space="preserve">Laptop, phone, and other IT equipment.</w:t>
      </w:r>
    </w:p>
    <w:p>
      <w:pPr>
        <w:pStyle w:val="ListParagraph"/>
        <w:numPr>
          <w:ilvl w:val="0"/>
          <w:numId w:val="2"/>
        </w:numPr>
      </w:pPr>
      <w:r>
        <w:rPr>
          <w:rFonts w:ascii="Arial" w:cs="Arial" w:eastAsia="Arial" w:hAnsi="Arial"/>
          <w:color w:val="3A4A5A"/>
          <w:sz w:val="22"/>
          <w:szCs w:val="22"/>
        </w:rPr>
        <w:t xml:space="preserve">Access cards, keys, and security devices.</w:t>
      </w:r>
    </w:p>
    <w:p>
      <w:pPr>
        <w:pStyle w:val="ListParagraph"/>
        <w:numPr>
          <w:ilvl w:val="0"/>
          <w:numId w:val="2"/>
        </w:numPr>
      </w:pPr>
      <w:r>
        <w:rPr>
          <w:rFonts w:ascii="Arial" w:cs="Arial" w:eastAsia="Arial" w:hAnsi="Arial"/>
          <w:color w:val="3A4A5A"/>
          <w:sz w:val="22"/>
          <w:szCs w:val="22"/>
        </w:rPr>
        <w:t xml:space="preserve">Company vehicle (if issued).</w:t>
      </w:r>
    </w:p>
    <w:p>
      <w:pPr>
        <w:pStyle w:val="ListParagraph"/>
        <w:numPr>
          <w:ilvl w:val="0"/>
          <w:numId w:val="2"/>
        </w:numPr>
      </w:pPr>
      <w:r>
        <w:rPr>
          <w:rFonts w:ascii="Arial" w:cs="Arial" w:eastAsia="Arial" w:hAnsi="Arial"/>
          <w:color w:val="3A4A5A"/>
          <w:sz w:val="22"/>
          <w:szCs w:val="22"/>
        </w:rPr>
        <w:t xml:space="preserve">Uniforms or branded clothing.</w:t>
      </w:r>
    </w:p>
    <w:p>
      <w:pPr>
        <w:pStyle w:val="ListParagraph"/>
        <w:numPr>
          <w:ilvl w:val="0"/>
          <w:numId w:val="2"/>
        </w:numPr>
      </w:pPr>
      <w:r>
        <w:rPr>
          <w:rFonts w:ascii="Arial" w:cs="Arial" w:eastAsia="Arial" w:hAnsi="Arial"/>
          <w:color w:val="3A4A5A"/>
          <w:sz w:val="22"/>
          <w:szCs w:val="22"/>
        </w:rPr>
        <w:t xml:space="preserve">Confidential documents or files.</w:t>
      </w:r>
    </w:p>
    <w:p>
      <w:pPr>
        <w:spacing w:after="60" w:before="60"/>
      </w:pPr>
      <w:r>
        <w:rPr>
          <w:rFonts w:ascii="Arial" w:cs="Arial" w:eastAsia="Arial" w:hAnsi="Arial"/>
          <w:b w:val="false"/>
          <w:bCs w:val="false"/>
          <w:color w:val="3A4A5A"/>
          <w:sz w:val="22"/>
          <w:szCs w:val="22"/>
        </w:rPr>
        <w:t xml:space="preserve">Employee responsible for all property. Damaged or missing items may result in deduction from final pay (if contractually permitted and reasonable).</w:t>
      </w:r>
    </w:p>
    <w:p>
      <w:pPr>
        <w:pStyle w:val="Heading2"/>
      </w:pPr>
      <w:r>
        <w:t xml:space="preserve">9. Certificate of Service</w:t>
      </w:r>
    </w:p>
    <w:p>
      <w:pPr>
        <w:spacing w:after="60" w:before="60"/>
      </w:pPr>
      <w:r>
        <w:rPr>
          <w:rFonts w:ascii="Arial" w:cs="Arial" w:eastAsia="Arial" w:hAnsi="Arial"/>
          <w:b w:val="false"/>
          <w:bCs w:val="false"/>
          <w:color w:val="3A4A5A"/>
          <w:sz w:val="22"/>
          <w:szCs w:val="22"/>
        </w:rPr>
        <w:t xml:space="preserve">Employer must issue a Certificate of Service to the employee upon termination, as required by BCEA s39.</w:t>
      </w:r>
    </w:p>
    <w:p>
      <w:pPr>
        <w:spacing w:after="60" w:before="60"/>
      </w:pPr>
      <w:r>
        <w:rPr>
          <w:rFonts w:ascii="Arial" w:cs="Arial" w:eastAsia="Arial" w:hAnsi="Arial"/>
          <w:b w:val="false"/>
          <w:bCs w:val="false"/>
          <w:color w:val="3A4A5A"/>
          <w:sz w:val="22"/>
          <w:szCs w:val="22"/>
        </w:rPr>
        <w:t xml:space="preserve">Certificate must include:</w:t>
      </w:r>
    </w:p>
    <w:p>
      <w:pPr>
        <w:pStyle w:val="ListParagraph"/>
        <w:numPr>
          <w:ilvl w:val="0"/>
          <w:numId w:val="2"/>
        </w:numPr>
      </w:pPr>
      <w:r>
        <w:rPr>
          <w:rFonts w:ascii="Arial" w:cs="Arial" w:eastAsia="Arial" w:hAnsi="Arial"/>
          <w:color w:val="3A4A5A"/>
          <w:sz w:val="22"/>
          <w:szCs w:val="22"/>
        </w:rPr>
        <w:t xml:space="preserve">Employee name and ID number.</w:t>
      </w:r>
    </w:p>
    <w:p>
      <w:pPr>
        <w:pStyle w:val="ListParagraph"/>
        <w:numPr>
          <w:ilvl w:val="0"/>
          <w:numId w:val="2"/>
        </w:numPr>
      </w:pPr>
      <w:r>
        <w:rPr>
          <w:rFonts w:ascii="Arial" w:cs="Arial" w:eastAsia="Arial" w:hAnsi="Arial"/>
          <w:color w:val="3A4A5A"/>
          <w:sz w:val="22"/>
          <w:szCs w:val="22"/>
        </w:rPr>
        <w:t xml:space="preserve">Position and department.</w:t>
      </w:r>
    </w:p>
    <w:p>
      <w:pPr>
        <w:pStyle w:val="ListParagraph"/>
        <w:numPr>
          <w:ilvl w:val="0"/>
          <w:numId w:val="2"/>
        </w:numPr>
      </w:pPr>
      <w:r>
        <w:rPr>
          <w:rFonts w:ascii="Arial" w:cs="Arial" w:eastAsia="Arial" w:hAnsi="Arial"/>
          <w:color w:val="3A4A5A"/>
          <w:sz w:val="22"/>
          <w:szCs w:val="22"/>
        </w:rPr>
        <w:t xml:space="preserve">Start date and termination date.</w:t>
      </w:r>
    </w:p>
    <w:p>
      <w:pPr>
        <w:pStyle w:val="ListParagraph"/>
        <w:numPr>
          <w:ilvl w:val="0"/>
          <w:numId w:val="2"/>
        </w:numPr>
      </w:pPr>
      <w:r>
        <w:rPr>
          <w:rFonts w:ascii="Arial" w:cs="Arial" w:eastAsia="Arial" w:hAnsi="Arial"/>
          <w:color w:val="3A4A5A"/>
          <w:sz w:val="22"/>
          <w:szCs w:val="22"/>
        </w:rPr>
        <w:t xml:space="preserve">Period of employment.</w:t>
      </w:r>
    </w:p>
    <w:p>
      <w:pPr>
        <w:pStyle w:val="ListParagraph"/>
        <w:numPr>
          <w:ilvl w:val="0"/>
          <w:numId w:val="2"/>
        </w:numPr>
      </w:pPr>
      <w:r>
        <w:rPr>
          <w:rFonts w:ascii="Arial" w:cs="Arial" w:eastAsia="Arial" w:hAnsi="Arial"/>
          <w:color w:val="3A4A5A"/>
          <w:sz w:val="22"/>
          <w:szCs w:val="22"/>
        </w:rPr>
        <w:t xml:space="preserve">Reason for termination (if applicable).</w:t>
      </w:r>
    </w:p>
    <w:p>
      <w:pPr>
        <w:pStyle w:val="ListParagraph"/>
        <w:numPr>
          <w:ilvl w:val="0"/>
          <w:numId w:val="2"/>
        </w:numPr>
      </w:pPr>
      <w:r>
        <w:rPr>
          <w:rFonts w:ascii="Arial" w:cs="Arial" w:eastAsia="Arial" w:hAnsi="Arial"/>
          <w:color w:val="3A4A5A"/>
          <w:sz w:val="22"/>
          <w:szCs w:val="22"/>
        </w:rPr>
        <w:t xml:space="preserve">Employer name and details.</w:t>
      </w:r>
    </w:p>
    <w:p>
      <w:pPr>
        <w:pStyle w:val="ListParagraph"/>
        <w:numPr>
          <w:ilvl w:val="0"/>
          <w:numId w:val="2"/>
        </w:numPr>
      </w:pPr>
      <w:r>
        <w:rPr>
          <w:rFonts w:ascii="Arial" w:cs="Arial" w:eastAsia="Arial" w:hAnsi="Arial"/>
          <w:color w:val="3A4A5A"/>
          <w:sz w:val="22"/>
          <w:szCs w:val="22"/>
        </w:rPr>
        <w:t xml:space="preserve">Date of issue.</w:t>
      </w:r>
    </w:p>
    <w:p>
      <w:pPr>
        <w:spacing w:after="60" w:before="60"/>
      </w:pPr>
      <w:r>
        <w:rPr>
          <w:rFonts w:ascii="Arial" w:cs="Arial" w:eastAsia="Arial" w:hAnsi="Arial"/>
          <w:b w:val="false"/>
          <w:bCs w:val="false"/>
          <w:color w:val="3A4A5A"/>
          <w:sz w:val="22"/>
          <w:szCs w:val="22"/>
        </w:rPr>
        <w:t xml:space="preserve">Certificate must be accurate and provided within 3 days of termination.</w:t>
      </w:r>
    </w:p>
    <w:p>
      <w:pPr>
        <w:pStyle w:val="Heading2"/>
      </w:pPr>
      <w:r>
        <w:t xml:space="preserve">10. Restraint of Trade</w:t>
      </w:r>
    </w:p>
    <w:p>
      <w:pPr>
        <w:spacing w:after="60" w:before="60"/>
      </w:pPr>
      <w:r>
        <w:rPr>
          <w:rFonts w:ascii="Arial" w:cs="Arial" w:eastAsia="Arial" w:hAnsi="Arial"/>
          <w:b w:val="false"/>
          <w:bCs w:val="false"/>
          <w:color w:val="3A4A5A"/>
          <w:sz w:val="22"/>
          <w:szCs w:val="22"/>
        </w:rPr>
        <w:t xml:space="preserve">If employment contract includes a restraint of trade clause, it remains binding on the employee after termination if:</w:t>
      </w:r>
    </w:p>
    <w:p>
      <w:pPr>
        <w:pStyle w:val="ListParagraph"/>
        <w:numPr>
          <w:ilvl w:val="0"/>
          <w:numId w:val="2"/>
        </w:numPr>
      </w:pPr>
      <w:r>
        <w:rPr>
          <w:rFonts w:ascii="Arial" w:cs="Arial" w:eastAsia="Arial" w:hAnsi="Arial"/>
          <w:color w:val="3A4A5A"/>
          <w:sz w:val="22"/>
          <w:szCs w:val="22"/>
        </w:rPr>
        <w:t xml:space="preserve">Clause is reasonable in scope, duration, and geographic area.</w:t>
      </w:r>
    </w:p>
    <w:p>
      <w:pPr>
        <w:pStyle w:val="ListParagraph"/>
        <w:numPr>
          <w:ilvl w:val="0"/>
          <w:numId w:val="2"/>
        </w:numPr>
      </w:pPr>
      <w:r>
        <w:rPr>
          <w:rFonts w:ascii="Arial" w:cs="Arial" w:eastAsia="Arial" w:hAnsi="Arial"/>
          <w:color w:val="3A4A5A"/>
          <w:sz w:val="22"/>
          <w:szCs w:val="22"/>
        </w:rPr>
        <w:t xml:space="preserve">Protects legitimate business interests (trade secrets, client relationships, competition).</w:t>
      </w:r>
    </w:p>
    <w:p>
      <w:pPr>
        <w:pStyle w:val="ListParagraph"/>
        <w:numPr>
          <w:ilvl w:val="0"/>
          <w:numId w:val="2"/>
        </w:numPr>
      </w:pPr>
      <w:r>
        <w:rPr>
          <w:rFonts w:ascii="Arial" w:cs="Arial" w:eastAsia="Arial" w:hAnsi="Arial"/>
          <w:color w:val="3A4A5A"/>
          <w:sz w:val="22"/>
          <w:szCs w:val="22"/>
        </w:rPr>
        <w:t xml:space="preserve">Does not impose undue hardship on employee.</w:t>
      </w:r>
    </w:p>
    <w:p>
      <w:pPr>
        <w:spacing w:after="60" w:before="60"/>
      </w:pPr>
      <w:r>
        <w:rPr>
          <w:rFonts w:ascii="Arial" w:cs="Arial" w:eastAsia="Arial" w:hAnsi="Arial"/>
          <w:b w:val="false"/>
          <w:bCs w:val="false"/>
          <w:color w:val="3A4A5A"/>
          <w:sz w:val="22"/>
          <w:szCs w:val="22"/>
        </w:rPr>
        <w:t xml:space="preserve">Employer may seek enforcement via court injunction. Reasonableness assessed by the courts.</w:t>
      </w:r>
    </w:p>
    <w:p>
      <w:pPr>
        <w:pStyle w:val="Heading2"/>
      </w:pPr>
      <w:r>
        <w:t xml:space="preserve">11. Tax Compliance</w:t>
      </w:r>
    </w:p>
    <w:p>
      <w:pPr>
        <w:spacing w:after="60" w:before="60"/>
      </w:pPr>
      <w:r>
        <w:rPr>
          <w:rFonts w:ascii="Arial" w:cs="Arial" w:eastAsia="Arial" w:hAnsi="Arial"/>
          <w:b w:val="false"/>
          <w:bCs w:val="false"/>
          <w:color w:val="3A4A5A"/>
          <w:sz w:val="22"/>
          <w:szCs w:val="22"/>
        </w:rPr>
        <w:t xml:space="preserve">Upon termination, employer issues:</w:t>
      </w:r>
    </w:p>
    <w:p>
      <w:pPr>
        <w:pStyle w:val="ListParagraph"/>
        <w:numPr>
          <w:ilvl w:val="0"/>
          <w:numId w:val="2"/>
        </w:numPr>
      </w:pPr>
      <w:r>
        <w:rPr>
          <w:rFonts w:ascii="Arial" w:cs="Arial" w:eastAsia="Arial" w:hAnsi="Arial"/>
          <w:color w:val="3A4A5A"/>
          <w:sz w:val="22"/>
          <w:szCs w:val="22"/>
        </w:rPr>
        <w:t xml:space="preserve">IRP5/IT3(a) (tax certificate) by 28 February following tax year.</w:t>
      </w:r>
    </w:p>
    <w:p>
      <w:pPr>
        <w:pStyle w:val="ListParagraph"/>
        <w:numPr>
          <w:ilvl w:val="0"/>
          <w:numId w:val="2"/>
        </w:numPr>
      </w:pPr>
      <w:r>
        <w:rPr>
          <w:rFonts w:ascii="Arial" w:cs="Arial" w:eastAsia="Arial" w:hAnsi="Arial"/>
          <w:color w:val="3A4A5A"/>
          <w:sz w:val="22"/>
          <w:szCs w:val="22"/>
        </w:rPr>
        <w:t xml:space="preserve">Tax clearance letter (if employee requests).</w:t>
      </w:r>
    </w:p>
    <w:p>
      <w:pPr>
        <w:spacing w:after="60" w:before="60"/>
      </w:pPr>
      <w:r>
        <w:rPr>
          <w:rFonts w:ascii="Arial" w:cs="Arial" w:eastAsia="Arial" w:hAnsi="Arial"/>
          <w:b w:val="false"/>
          <w:bCs w:val="false"/>
          <w:color w:val="3A4A5A"/>
          <w:sz w:val="22"/>
          <w:szCs w:val="22"/>
        </w:rPr>
        <w:t xml:space="preserve">Employee responsible for declaring termination pay to SARS and any tax due thereon.</w:t>
      </w:r>
    </w:p>
    <w:p>
      <w:pPr>
        <w:pStyle w:val="Heading2"/>
      </w:pPr>
      <w:r>
        <w:t xml:space="preserve">12. POPIA Compliance on Termination</w:t>
      </w:r>
    </w:p>
    <w:p>
      <w:pPr>
        <w:spacing w:after="60" w:before="60"/>
      </w:pPr>
      <w:r>
        <w:rPr>
          <w:rFonts w:ascii="Arial" w:cs="Arial" w:eastAsia="Arial" w:hAnsi="Arial"/>
          <w:b w:val="false"/>
          <w:bCs w:val="false"/>
          <w:color w:val="3A4A5A"/>
          <w:sz w:val="22"/>
          <w:szCs w:val="22"/>
        </w:rPr>
        <w:t xml:space="preserve">Upon termination, employer must:</w:t>
      </w:r>
    </w:p>
    <w:p>
      <w:pPr>
        <w:pStyle w:val="ListParagraph"/>
        <w:numPr>
          <w:ilvl w:val="0"/>
          <w:numId w:val="2"/>
        </w:numPr>
      </w:pPr>
      <w:r>
        <w:rPr>
          <w:rFonts w:ascii="Arial" w:cs="Arial" w:eastAsia="Arial" w:hAnsi="Arial"/>
          <w:color w:val="3A4A5A"/>
          <w:sz w:val="22"/>
          <w:szCs w:val="22"/>
        </w:rPr>
        <w:t xml:space="preserve">Delete personal information no longer required (after retention periods expire).</w:t>
      </w:r>
    </w:p>
    <w:p>
      <w:pPr>
        <w:pStyle w:val="ListParagraph"/>
        <w:numPr>
          <w:ilvl w:val="0"/>
          <w:numId w:val="2"/>
        </w:numPr>
      </w:pPr>
      <w:r>
        <w:rPr>
          <w:rFonts w:ascii="Arial" w:cs="Arial" w:eastAsia="Arial" w:hAnsi="Arial"/>
          <w:color w:val="3A4A5A"/>
          <w:sz w:val="22"/>
          <w:szCs w:val="22"/>
        </w:rPr>
        <w:t xml:space="preserve">Maintain records required by law (e.g., tax records for 5 years).</w:t>
      </w:r>
    </w:p>
    <w:p>
      <w:pPr>
        <w:pStyle w:val="ListParagraph"/>
        <w:numPr>
          <w:ilvl w:val="0"/>
          <w:numId w:val="2"/>
        </w:numPr>
      </w:pPr>
      <w:r>
        <w:rPr>
          <w:rFonts w:ascii="Arial" w:cs="Arial" w:eastAsia="Arial" w:hAnsi="Arial"/>
          <w:color w:val="3A4A5A"/>
          <w:sz w:val="22"/>
          <w:szCs w:val="22"/>
        </w:rPr>
        <w:t xml:space="preserve">Ensure data security for records retained.</w:t>
      </w:r>
    </w:p>
    <w:p>
      <w:pPr>
        <w:pStyle w:val="ListParagraph"/>
        <w:numPr>
          <w:ilvl w:val="0"/>
          <w:numId w:val="2"/>
        </w:numPr>
      </w:pPr>
      <w:r>
        <w:rPr>
          <w:rFonts w:ascii="Arial" w:cs="Arial" w:eastAsia="Arial" w:hAnsi="Arial"/>
          <w:color w:val="3A4A5A"/>
          <w:sz w:val="22"/>
          <w:szCs w:val="22"/>
        </w:rPr>
        <w:t xml:space="preserve">Notify employee of data retention and deletion practices.</w:t>
      </w:r>
    </w:p>
    <w:p>
      <w:pPr>
        <w:pStyle w:val="ListParagraph"/>
        <w:numPr>
          <w:ilvl w:val="0"/>
          <w:numId w:val="2"/>
        </w:numPr>
      </w:pPr>
      <w:r>
        <w:rPr>
          <w:rFonts w:ascii="Arial" w:cs="Arial" w:eastAsia="Arial" w:hAnsi="Arial"/>
          <w:color w:val="3A4A5A"/>
          <w:sz w:val="22"/>
          <w:szCs w:val="22"/>
        </w:rPr>
        <w:t xml:space="preserve">Cease communication on personal contact details unless consent obtained.</w:t>
      </w:r>
    </w:p>
    <w:p>
      <w:pPr>
        <w:pStyle w:val="Heading2"/>
      </w:pPr>
      <w:r>
        <w:t xml:space="preserve">13. Exit Interview</w:t>
      </w:r>
    </w:p>
    <w:p>
      <w:pPr>
        <w:spacing w:after="60" w:before="60"/>
      </w:pPr>
      <w:r>
        <w:rPr>
          <w:rFonts w:ascii="Arial" w:cs="Arial" w:eastAsia="Arial" w:hAnsi="Arial"/>
          <w:b w:val="false"/>
          <w:bCs w:val="false"/>
          <w:color w:val="3A4A5A"/>
          <w:sz w:val="22"/>
          <w:szCs w:val="22"/>
        </w:rPr>
        <w:t xml:space="preserve">Where practicable, employer conducts exit interview with departing employee to:</w:t>
      </w:r>
    </w:p>
    <w:p>
      <w:pPr>
        <w:pStyle w:val="ListParagraph"/>
        <w:numPr>
          <w:ilvl w:val="0"/>
          <w:numId w:val="2"/>
        </w:numPr>
      </w:pPr>
      <w:r>
        <w:rPr>
          <w:rFonts w:ascii="Arial" w:cs="Arial" w:eastAsia="Arial" w:hAnsi="Arial"/>
          <w:color w:val="3A4A5A"/>
          <w:sz w:val="22"/>
          <w:szCs w:val="22"/>
        </w:rPr>
        <w:t xml:space="preserve">Gather feedback on employment experience.</w:t>
      </w:r>
    </w:p>
    <w:p>
      <w:pPr>
        <w:pStyle w:val="ListParagraph"/>
        <w:numPr>
          <w:ilvl w:val="0"/>
          <w:numId w:val="2"/>
        </w:numPr>
      </w:pPr>
      <w:r>
        <w:rPr>
          <w:rFonts w:ascii="Arial" w:cs="Arial" w:eastAsia="Arial" w:hAnsi="Arial"/>
          <w:color w:val="3A4A5A"/>
          <w:sz w:val="22"/>
          <w:szCs w:val="22"/>
        </w:rPr>
        <w:t xml:space="preserve">Identify areas for improvement in company practices.</w:t>
      </w:r>
    </w:p>
    <w:p>
      <w:pPr>
        <w:pStyle w:val="ListParagraph"/>
        <w:numPr>
          <w:ilvl w:val="0"/>
          <w:numId w:val="2"/>
        </w:numPr>
      </w:pPr>
      <w:r>
        <w:rPr>
          <w:rFonts w:ascii="Arial" w:cs="Arial" w:eastAsia="Arial" w:hAnsi="Arial"/>
          <w:color w:val="3A4A5A"/>
          <w:sz w:val="22"/>
          <w:szCs w:val="22"/>
        </w:rPr>
        <w:t xml:space="preserve">Clarify post-employment obligations (confidentiality, restraint, etc.).</w:t>
      </w:r>
    </w:p>
    <w:p>
      <w:pPr>
        <w:pStyle w:val="ListParagraph"/>
        <w:numPr>
          <w:ilvl w:val="0"/>
          <w:numId w:val="2"/>
        </w:numPr>
      </w:pPr>
      <w:r>
        <w:rPr>
          <w:rFonts w:ascii="Arial" w:cs="Arial" w:eastAsia="Arial" w:hAnsi="Arial"/>
          <w:color w:val="3A4A5A"/>
          <w:sz w:val="22"/>
          <w:szCs w:val="22"/>
        </w:rPr>
        <w:t xml:space="preserve">Confirm final arrangements (references, forwarding address).</w:t>
      </w:r>
    </w:p>
    <w:p>
      <w:pPr>
        <w:spacing w:after="60" w:before="60"/>
      </w:pPr>
      <w:r>
        <w:rPr>
          <w:rFonts w:ascii="Arial" w:cs="Arial" w:eastAsia="Arial" w:hAnsi="Arial"/>
          <w:b w:val="false"/>
          <w:bCs w:val="false"/>
          <w:color w:val="3A4A5A"/>
          <w:sz w:val="22"/>
          <w:szCs w:val="22"/>
        </w:rPr>
        <w:t xml:space="preserve">Exit interviews may be conducted in-person or digitally.</w:t>
      </w:r>
    </w:p>
    <w:p>
      <w:pPr>
        <w:pStyle w:val="Heading2"/>
      </w:pPr>
      <w:r>
        <w:t xml:space="preserve">14. Post-Employment Obligations</w:t>
      </w:r>
    </w:p>
    <w:p>
      <w:pPr>
        <w:spacing w:after="60" w:before="60"/>
      </w:pPr>
      <w:r>
        <w:rPr>
          <w:rFonts w:ascii="Arial" w:cs="Arial" w:eastAsia="Arial" w:hAnsi="Arial"/>
          <w:b w:val="false"/>
          <w:bCs w:val="false"/>
          <w:color w:val="3A4A5A"/>
          <w:sz w:val="22"/>
          <w:szCs w:val="22"/>
        </w:rPr>
        <w:t xml:space="preserve">Upon termination, employee must:</w:t>
      </w:r>
    </w:p>
    <w:p>
      <w:pPr>
        <w:pStyle w:val="ListParagraph"/>
        <w:numPr>
          <w:ilvl w:val="0"/>
          <w:numId w:val="2"/>
        </w:numPr>
      </w:pPr>
      <w:r>
        <w:rPr>
          <w:rFonts w:ascii="Arial" w:cs="Arial" w:eastAsia="Arial" w:hAnsi="Arial"/>
          <w:color w:val="3A4A5A"/>
          <w:sz w:val="22"/>
          <w:szCs w:val="22"/>
        </w:rPr>
        <w:t xml:space="preserve">Comply with confidentiality and non-disclosure agreements.</w:t>
      </w:r>
    </w:p>
    <w:p>
      <w:pPr>
        <w:pStyle w:val="ListParagraph"/>
        <w:numPr>
          <w:ilvl w:val="0"/>
          <w:numId w:val="2"/>
        </w:numPr>
      </w:pPr>
      <w:r>
        <w:rPr>
          <w:rFonts w:ascii="Arial" w:cs="Arial" w:eastAsia="Arial" w:hAnsi="Arial"/>
          <w:color w:val="3A4A5A"/>
          <w:sz w:val="22"/>
          <w:szCs w:val="22"/>
        </w:rPr>
        <w:t xml:space="preserve">Comply with restraint of trade provisions (if applicable).</w:t>
      </w:r>
    </w:p>
    <w:p>
      <w:pPr>
        <w:pStyle w:val="ListParagraph"/>
        <w:numPr>
          <w:ilvl w:val="0"/>
          <w:numId w:val="2"/>
        </w:numPr>
      </w:pPr>
      <w:r>
        <w:rPr>
          <w:rFonts w:ascii="Arial" w:cs="Arial" w:eastAsia="Arial" w:hAnsi="Arial"/>
          <w:color w:val="3A4A5A"/>
          <w:sz w:val="22"/>
          <w:szCs w:val="22"/>
        </w:rPr>
        <w:t xml:space="preserve">Return all company property.</w:t>
      </w:r>
    </w:p>
    <w:p>
      <w:pPr>
        <w:pStyle w:val="ListParagraph"/>
        <w:numPr>
          <w:ilvl w:val="0"/>
          <w:numId w:val="2"/>
        </w:numPr>
      </w:pPr>
      <w:r>
        <w:rPr>
          <w:rFonts w:ascii="Arial" w:cs="Arial" w:eastAsia="Arial" w:hAnsi="Arial"/>
          <w:color w:val="3A4A5A"/>
          <w:sz w:val="22"/>
          <w:szCs w:val="22"/>
        </w:rPr>
        <w:t xml:space="preserve">Cooperate with knowledge transfer or handover process.</w:t>
      </w:r>
    </w:p>
    <w:p>
      <w:pPr>
        <w:pStyle w:val="ListParagraph"/>
        <w:numPr>
          <w:ilvl w:val="0"/>
          <w:numId w:val="2"/>
        </w:numPr>
      </w:pPr>
      <w:r>
        <w:rPr>
          <w:rFonts w:ascii="Arial" w:cs="Arial" w:eastAsia="Arial" w:hAnsi="Arial"/>
          <w:color w:val="3A4A5A"/>
          <w:sz w:val="22"/>
          <w:szCs w:val="22"/>
        </w:rPr>
        <w:t xml:space="preserve">Not represent themselves as employed by the company.</w:t>
      </w:r>
    </w:p>
    <w:p>
      <w:pPr>
        <w:pStyle w:val="ListParagraph"/>
        <w:numPr>
          <w:ilvl w:val="0"/>
          <w:numId w:val="2"/>
        </w:numPr>
      </w:pPr>
      <w:r>
        <w:rPr>
          <w:rFonts w:ascii="Arial" w:cs="Arial" w:eastAsia="Arial" w:hAnsi="Arial"/>
          <w:color w:val="3A4A5A"/>
          <w:sz w:val="22"/>
          <w:szCs w:val="22"/>
        </w:rPr>
        <w:t xml:space="preserve">Not disparage the company publicly.</w:t>
      </w:r>
    </w:p>
    <w:p>
      <w:pPr>
        <w:pStyle w:val="Heading2"/>
      </w:pPr>
      <w:r>
        <w:t xml:space="preserve">15. References</w:t>
      </w:r>
    </w:p>
    <w:p>
      <w:pPr>
        <w:spacing w:after="60" w:before="60"/>
      </w:pPr>
      <w:r>
        <w:rPr>
          <w:rFonts w:ascii="Arial" w:cs="Arial" w:eastAsia="Arial" w:hAnsi="Arial"/>
          <w:b w:val="false"/>
          <w:bCs w:val="false"/>
          <w:color w:val="3A4A5A"/>
          <w:sz w:val="22"/>
          <w:szCs w:val="22"/>
        </w:rPr>
        <w:t xml:space="preserve">Employer provides references for departing employees upon request. References limited to factual information (dates of employment, positions held, final salary). Subjective assessments discouraged to avoid defamation claims.</w:t>
      </w:r>
    </w:p>
    <w:p>
      <w:pPr>
        <w:pStyle w:val="Heading2"/>
      </w:pPr>
      <w:r>
        <w:t xml:space="preserve">16. Pension and Benefits</w:t>
      </w:r>
    </w:p>
    <w:p>
      <w:pPr>
        <w:spacing w:after="60" w:before="60"/>
      </w:pPr>
      <w:r>
        <w:rPr>
          <w:rFonts w:ascii="Arial" w:cs="Arial" w:eastAsia="Arial" w:hAnsi="Arial"/>
          <w:b w:val="false"/>
          <w:bCs w:val="false"/>
          <w:color w:val="3A4A5A"/>
          <w:sz w:val="22"/>
          <w:szCs w:val="22"/>
        </w:rPr>
        <w:t xml:space="preserve">Upon termination:</w:t>
      </w:r>
    </w:p>
    <w:p>
      <w:pPr>
        <w:pStyle w:val="ListParagraph"/>
        <w:numPr>
          <w:ilvl w:val="0"/>
          <w:numId w:val="2"/>
        </w:numPr>
      </w:pPr>
      <w:r>
        <w:rPr>
          <w:rFonts w:ascii="Arial" w:cs="Arial" w:eastAsia="Arial" w:hAnsi="Arial"/>
          <w:color w:val="3A4A5A"/>
          <w:sz w:val="22"/>
          <w:szCs w:val="22"/>
        </w:rPr>
        <w:t xml:space="preserve">Pension/provident fund contributions cease.</w:t>
      </w:r>
    </w:p>
    <w:p>
      <w:pPr>
        <w:pStyle w:val="ListParagraph"/>
        <w:numPr>
          <w:ilvl w:val="0"/>
          <w:numId w:val="2"/>
        </w:numPr>
      </w:pPr>
      <w:r>
        <w:rPr>
          <w:rFonts w:ascii="Arial" w:cs="Arial" w:eastAsia="Arial" w:hAnsi="Arial"/>
          <w:color w:val="3A4A5A"/>
          <w:sz w:val="22"/>
          <w:szCs w:val="22"/>
        </w:rPr>
        <w:t xml:space="preserve">Medical aid coverage ends on date of termination (or month-end, per benefit rules).</w:t>
      </w:r>
    </w:p>
    <w:p>
      <w:pPr>
        <w:pStyle w:val="ListParagraph"/>
        <w:numPr>
          <w:ilvl w:val="0"/>
          <w:numId w:val="2"/>
        </w:numPr>
      </w:pPr>
      <w:r>
        <w:rPr>
          <w:rFonts w:ascii="Arial" w:cs="Arial" w:eastAsia="Arial" w:hAnsi="Arial"/>
          <w:color w:val="3A4A5A"/>
          <w:sz w:val="22"/>
          <w:szCs w:val="22"/>
        </w:rPr>
        <w:t xml:space="preserve">Vested benefits payable per fund rules and legislation.</w:t>
      </w:r>
    </w:p>
    <w:p>
      <w:pPr>
        <w:pStyle w:val="ListParagraph"/>
        <w:numPr>
          <w:ilvl w:val="0"/>
          <w:numId w:val="2"/>
        </w:numPr>
      </w:pPr>
      <w:r>
        <w:rPr>
          <w:rFonts w:ascii="Arial" w:cs="Arial" w:eastAsia="Arial" w:hAnsi="Arial"/>
          <w:color w:val="3A4A5A"/>
          <w:sz w:val="22"/>
          <w:szCs w:val="22"/>
        </w:rPr>
        <w:t xml:space="preserve">Employee notified of fund contact details for claims.</w:t>
      </w:r>
    </w:p>
    <w:p>
      <w:pPr>
        <w:pStyle w:val="Heading2"/>
      </w:pPr>
      <w:r>
        <w:t xml:space="preserve">17. Unfair Dismissal Remedy</w:t>
      </w:r>
    </w:p>
    <w:p>
      <w:pPr>
        <w:spacing w:after="60" w:before="60"/>
      </w:pPr>
      <w:r>
        <w:rPr>
          <w:rFonts w:ascii="Arial" w:cs="Arial" w:eastAsia="Arial" w:hAnsi="Arial"/>
          <w:b w:val="false"/>
          <w:bCs w:val="false"/>
          <w:color w:val="3A4A5A"/>
          <w:sz w:val="22"/>
          <w:szCs w:val="22"/>
        </w:rPr>
        <w:t xml:space="preserve">Employees dismissed without fair reason or procedure may refer disputes to the CCMA within 30 days of dismissal. The CCMA may order:</w:t>
      </w:r>
    </w:p>
    <w:p>
      <w:pPr>
        <w:pStyle w:val="ListParagraph"/>
        <w:numPr>
          <w:ilvl w:val="0"/>
          <w:numId w:val="2"/>
        </w:numPr>
      </w:pPr>
      <w:r>
        <w:rPr>
          <w:rFonts w:ascii="Arial" w:cs="Arial" w:eastAsia="Arial" w:hAnsi="Arial"/>
          <w:color w:val="3A4A5A"/>
          <w:sz w:val="22"/>
          <w:szCs w:val="22"/>
        </w:rPr>
        <w:t xml:space="preserve">Reinstatement (with or without compensation).</w:t>
      </w:r>
    </w:p>
    <w:p>
      <w:pPr>
        <w:pStyle w:val="ListParagraph"/>
        <w:numPr>
          <w:ilvl w:val="0"/>
          <w:numId w:val="2"/>
        </w:numPr>
      </w:pPr>
      <w:r>
        <w:rPr>
          <w:rFonts w:ascii="Arial" w:cs="Arial" w:eastAsia="Arial" w:hAnsi="Arial"/>
          <w:color w:val="3A4A5A"/>
          <w:sz w:val="22"/>
          <w:szCs w:val="22"/>
        </w:rPr>
        <w:t xml:space="preserve">Compensation for unfair dismissal.</w:t>
      </w:r>
    </w:p>
    <w:p>
      <w:pPr>
        <w:pStyle w:val="ListParagraph"/>
        <w:numPr>
          <w:ilvl w:val="0"/>
          <w:numId w:val="2"/>
        </w:numPr>
      </w:pPr>
      <w:r>
        <w:rPr>
          <w:rFonts w:ascii="Arial" w:cs="Arial" w:eastAsia="Arial" w:hAnsi="Arial"/>
          <w:color w:val="3A4A5A"/>
          <w:sz w:val="22"/>
          <w:szCs w:val="22"/>
        </w:rPr>
        <w:t xml:space="preserve">Payment of benefits.</w:t>
      </w:r>
    </w:p>
    <w:p>
      <w:pPr>
        <w:spacing w:after="0" w:before="300"/>
      </w:pPr>
    </w:p>
    <w:p>
      <w:pPr>
        <w:pStyle w:val="Heading2"/>
      </w:pPr>
      <w:r>
        <w:t xml:space="preserve">Sign-Off</w:t>
      </w:r>
    </w:p>
    <w:p>
      <w:pPr>
        <w:spacing w:after="60" w:before="60"/>
      </w:pPr>
      <w:r>
        <w:rPr>
          <w:rFonts w:ascii="Arial" w:cs="Arial" w:eastAsia="Arial" w:hAnsi="Arial"/>
          <w:b w:val="false"/>
          <w:bCs w:val="false"/>
          <w:color w:val="3A4A5A"/>
          <w:sz w:val="22"/>
          <w:szCs w:val="22"/>
        </w:rPr>
        <w:t xml:space="preserve">This policy has been reviewed and approved by the undersigned.</w:t>
      </w:r>
    </w:p>
    <w:p>
      <w:pPr>
        <w:spacing w:after="0" w:before="12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616"/>
        <w:gridCol w:w="2617"/>
        <w:gridCol w:w="3116"/>
        <w:gridCol w:w="2117"/>
      </w:tblGrid>
      <w:tr>
        <w:tc>
          <w:tcPr>
            <w:tcW w:type="dxa" w:w="2616"/>
            <w:tcBorders>
              <w:top w:val="single" w:color="DDE1EA" w:sz="4"/>
              <w:left w:val="single" w:color="DDE1EA" w:sz="4"/>
              <w:bottom w:val="single" w:color="DDE1EA" w:sz="4"/>
              <w:right w:val="single" w:color="DDE1EA" w:sz="4"/>
            </w:tcBorders>
            <w:shd w:fill="1B6FFF"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2617"/>
            <w:tcBorders>
              <w:top w:val="single" w:color="DDE1EA" w:sz="4"/>
              <w:left w:val="single" w:color="DDE1EA" w:sz="4"/>
              <w:bottom w:val="single" w:color="DDE1EA" w:sz="4"/>
              <w:right w:val="single" w:color="DDE1EA" w:sz="4"/>
            </w:tcBorders>
            <w:shd w:fill="1B6FFF"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3116"/>
            <w:tcBorders>
              <w:top w:val="single" w:color="DDE1EA" w:sz="4"/>
              <w:left w:val="single" w:color="DDE1EA" w:sz="4"/>
              <w:bottom w:val="single" w:color="DDE1EA" w:sz="4"/>
              <w:right w:val="single" w:color="DDE1EA" w:sz="4"/>
            </w:tcBorders>
            <w:shd w:fill="1B6FFF" w:val="clear"/>
            <w:tcMar>
              <w:top w:type="dxa" w:w="80"/>
              <w:left w:type="dxa" w:w="120"/>
              <w:bottom w:type="dxa" w:w="80"/>
              <w:right w:type="dxa" w:w="120"/>
            </w:tcMar>
          </w:tcPr>
          <w:p>
            <w:r>
              <w:rPr>
                <w:rFonts w:ascii="Arial" w:cs="Arial" w:eastAsia="Arial" w:hAnsi="Arial"/>
                <w:b/>
                <w:bCs/>
                <w:color w:val="FFFFFF"/>
                <w:sz w:val="18"/>
                <w:szCs w:val="18"/>
              </w:rPr>
              <w:t xml:space="preserve">Signature</w:t>
            </w:r>
          </w:p>
        </w:tc>
        <w:tc>
          <w:tcPr>
            <w:tcW w:type="dxa" w:w="2117"/>
            <w:tcBorders>
              <w:top w:val="single" w:color="DDE1EA" w:sz="4"/>
              <w:left w:val="single" w:color="DDE1EA" w:sz="4"/>
              <w:bottom w:val="single" w:color="DDE1EA" w:sz="4"/>
              <w:right w:val="single" w:color="DDE1EA" w:sz="4"/>
            </w:tcBorders>
            <w:shd w:fill="1B6FFF" w:val="clear"/>
            <w:tcMar>
              <w:top w:type="dxa" w:w="80"/>
              <w:left w:type="dxa" w:w="120"/>
              <w:bottom w:type="dxa" w:w="80"/>
              <w:right w:type="dxa" w:w="120"/>
            </w:tcMar>
          </w:tcPr>
          <w:p>
            <w:r>
              <w:rPr>
                <w:rFonts w:ascii="Arial" w:cs="Arial" w:eastAsia="Arial" w:hAnsi="Arial"/>
                <w:b/>
                <w:bCs/>
                <w:color w:val="FFFFFF"/>
                <w:sz w:val="18"/>
                <w:szCs w:val="18"/>
              </w:rPr>
              <w:t xml:space="preserve">Date</w:t>
            </w:r>
          </w:p>
        </w:tc>
      </w:tr>
      <w:tr>
        <w:tc>
          <w:tcPr>
            <w:tcW w:type="dxa" w:w="2616"/>
            <w:tcBorders>
              <w:top w:val="single" w:color="DDE1EA" w:sz="4"/>
              <w:left w:val="single" w:color="DDE1EA" w:sz="4"/>
              <w:bottom w:val="single" w:color="DDE1EA" w:sz="4"/>
              <w:right w:val="single" w:color="DDE1EA" w:sz="4"/>
            </w:tcBorders>
            <w:shd w:fill="FFFFFF" w:val="clear"/>
            <w:tcMar>
              <w:top w:type="dxa" w:w="80"/>
              <w:left w:type="dxa" w:w="120"/>
              <w:bottom w:type="dxa" w:w="80"/>
              <w:right w:type="dxa" w:w="120"/>
            </w:tcMar>
          </w:tcPr>
          <w:p>
            <w:r>
              <w:rPr>
                <w:rFonts w:ascii="Arial" w:cs="Arial" w:eastAsia="Arial" w:hAnsi="Arial"/>
                <w:color w:val="3A4A5A"/>
                <w:sz w:val="18"/>
                <w:szCs w:val="18"/>
              </w:rPr>
              <w:t xml:space="preserve"> </w:t>
            </w:r>
          </w:p>
        </w:tc>
        <w:tc>
          <w:tcPr>
            <w:tcW w:type="dxa" w:w="2617"/>
            <w:tcBorders>
              <w:top w:val="single" w:color="DDE1EA" w:sz="4"/>
              <w:left w:val="single" w:color="DDE1EA" w:sz="4"/>
              <w:bottom w:val="single" w:color="DDE1EA" w:sz="4"/>
              <w:right w:val="single" w:color="DDE1EA" w:sz="4"/>
            </w:tcBorders>
            <w:shd w:fill="FFFFFF" w:val="clear"/>
            <w:tcMar>
              <w:top w:type="dxa" w:w="80"/>
              <w:left w:type="dxa" w:w="120"/>
              <w:bottom w:type="dxa" w:w="80"/>
              <w:right w:type="dxa" w:w="120"/>
            </w:tcMar>
          </w:tcPr>
          <w:p>
            <w:r>
              <w:rPr>
                <w:rFonts w:ascii="Arial" w:cs="Arial" w:eastAsia="Arial" w:hAnsi="Arial"/>
                <w:color w:val="3A4A5A"/>
                <w:sz w:val="18"/>
                <w:szCs w:val="18"/>
              </w:rPr>
              <w:t xml:space="preserve"> </w:t>
            </w:r>
          </w:p>
        </w:tc>
        <w:tc>
          <w:tcPr>
            <w:tcW w:type="dxa" w:w="3116"/>
            <w:tcBorders>
              <w:top w:val="single" w:color="DDE1EA" w:sz="4"/>
              <w:left w:val="single" w:color="DDE1EA" w:sz="4"/>
              <w:bottom w:val="single" w:color="DDE1EA" w:sz="4"/>
              <w:right w:val="single" w:color="DDE1EA" w:sz="4"/>
            </w:tcBorders>
            <w:shd w:fill="FFFFFF" w:val="clear"/>
            <w:tcMar>
              <w:top w:type="dxa" w:w="80"/>
              <w:left w:type="dxa" w:w="120"/>
              <w:bottom w:type="dxa" w:w="80"/>
              <w:right w:type="dxa" w:w="120"/>
            </w:tcMar>
          </w:tcPr>
          <w:p>
            <w:r>
              <w:rPr>
                <w:rFonts w:ascii="Arial" w:cs="Arial" w:eastAsia="Arial" w:hAnsi="Arial"/>
                <w:color w:val="3A4A5A"/>
                <w:sz w:val="18"/>
                <w:szCs w:val="18"/>
              </w:rPr>
              <w:t xml:space="preserve"> </w:t>
            </w:r>
          </w:p>
        </w:tc>
        <w:tc>
          <w:tcPr>
            <w:tcW w:type="dxa" w:w="2117"/>
            <w:tcBorders>
              <w:top w:val="single" w:color="DDE1EA" w:sz="4"/>
              <w:left w:val="single" w:color="DDE1EA" w:sz="4"/>
              <w:bottom w:val="single" w:color="DDE1EA" w:sz="4"/>
              <w:right w:val="single" w:color="DDE1EA" w:sz="4"/>
            </w:tcBorders>
            <w:shd w:fill="FFFFFF" w:val="clear"/>
            <w:tcMar>
              <w:top w:type="dxa" w:w="80"/>
              <w:left w:type="dxa" w:w="120"/>
              <w:bottom w:type="dxa" w:w="80"/>
              <w:right w:type="dxa" w:w="120"/>
            </w:tcMar>
          </w:tcPr>
          <w:p>
            <w:r>
              <w:rPr>
                <w:rFonts w:ascii="Arial" w:cs="Arial" w:eastAsia="Arial" w:hAnsi="Arial"/>
                <w:color w:val="3A4A5A"/>
                <w:sz w:val="18"/>
                <w:szCs w:val="18"/>
              </w:rPr>
              <w:t xml:space="preserve"> </w:t>
            </w:r>
          </w:p>
        </w:tc>
      </w:tr>
      <w:tr>
        <w:tc>
          <w:tcPr>
            <w:tcW w:type="dxa" w:w="2616"/>
            <w:tcBorders>
              <w:top w:val="single" w:color="DDE1EA" w:sz="4"/>
              <w:left w:val="single" w:color="DDE1EA" w:sz="4"/>
              <w:bottom w:val="single" w:color="DDE1EA" w:sz="4"/>
              <w:right w:val="single" w:color="DDE1EA" w:sz="4"/>
            </w:tcBorders>
            <w:shd w:fill="F4F6FA" w:val="clear"/>
            <w:tcMar>
              <w:top w:type="dxa" w:w="80"/>
              <w:left w:type="dxa" w:w="120"/>
              <w:bottom w:type="dxa" w:w="80"/>
              <w:right w:type="dxa" w:w="120"/>
            </w:tcMar>
          </w:tcPr>
          <w:p>
            <w:r>
              <w:rPr>
                <w:rFonts w:ascii="Arial" w:cs="Arial" w:eastAsia="Arial" w:hAnsi="Arial"/>
                <w:color w:val="3A4A5A"/>
                <w:sz w:val="18"/>
                <w:szCs w:val="18"/>
              </w:rPr>
              <w:t xml:space="preserve"> </w:t>
            </w:r>
          </w:p>
        </w:tc>
        <w:tc>
          <w:tcPr>
            <w:tcW w:type="dxa" w:w="2617"/>
            <w:tcBorders>
              <w:top w:val="single" w:color="DDE1EA" w:sz="4"/>
              <w:left w:val="single" w:color="DDE1EA" w:sz="4"/>
              <w:bottom w:val="single" w:color="DDE1EA" w:sz="4"/>
              <w:right w:val="single" w:color="DDE1EA" w:sz="4"/>
            </w:tcBorders>
            <w:shd w:fill="F4F6FA" w:val="clear"/>
            <w:tcMar>
              <w:top w:type="dxa" w:w="80"/>
              <w:left w:type="dxa" w:w="120"/>
              <w:bottom w:type="dxa" w:w="80"/>
              <w:right w:type="dxa" w:w="120"/>
            </w:tcMar>
          </w:tcPr>
          <w:p>
            <w:r>
              <w:rPr>
                <w:rFonts w:ascii="Arial" w:cs="Arial" w:eastAsia="Arial" w:hAnsi="Arial"/>
                <w:color w:val="3A4A5A"/>
                <w:sz w:val="18"/>
                <w:szCs w:val="18"/>
              </w:rPr>
              <w:t xml:space="preserve"> </w:t>
            </w:r>
          </w:p>
        </w:tc>
        <w:tc>
          <w:tcPr>
            <w:tcW w:type="dxa" w:w="3116"/>
            <w:tcBorders>
              <w:top w:val="single" w:color="DDE1EA" w:sz="4"/>
              <w:left w:val="single" w:color="DDE1EA" w:sz="4"/>
              <w:bottom w:val="single" w:color="DDE1EA" w:sz="4"/>
              <w:right w:val="single" w:color="DDE1EA" w:sz="4"/>
            </w:tcBorders>
            <w:shd w:fill="F4F6FA" w:val="clear"/>
            <w:tcMar>
              <w:top w:type="dxa" w:w="80"/>
              <w:left w:type="dxa" w:w="120"/>
              <w:bottom w:type="dxa" w:w="80"/>
              <w:right w:type="dxa" w:w="120"/>
            </w:tcMar>
          </w:tcPr>
          <w:p>
            <w:r>
              <w:rPr>
                <w:rFonts w:ascii="Arial" w:cs="Arial" w:eastAsia="Arial" w:hAnsi="Arial"/>
                <w:color w:val="3A4A5A"/>
                <w:sz w:val="18"/>
                <w:szCs w:val="18"/>
              </w:rPr>
              <w:t xml:space="preserve"> </w:t>
            </w:r>
          </w:p>
        </w:tc>
        <w:tc>
          <w:tcPr>
            <w:tcW w:type="dxa" w:w="2117"/>
            <w:tcBorders>
              <w:top w:val="single" w:color="DDE1EA" w:sz="4"/>
              <w:left w:val="single" w:color="DDE1EA" w:sz="4"/>
              <w:bottom w:val="single" w:color="DDE1EA" w:sz="4"/>
              <w:right w:val="single" w:color="DDE1EA" w:sz="4"/>
            </w:tcBorders>
            <w:shd w:fill="F4F6FA" w:val="clear"/>
            <w:tcMar>
              <w:top w:type="dxa" w:w="80"/>
              <w:left w:type="dxa" w:w="120"/>
              <w:bottom w:type="dxa" w:w="80"/>
              <w:right w:type="dxa" w:w="120"/>
            </w:tcMar>
          </w:tcPr>
          <w:p>
            <w:r>
              <w:rPr>
                <w:rFonts w:ascii="Arial" w:cs="Arial" w:eastAsia="Arial" w:hAnsi="Arial"/>
                <w:color w:val="3A4A5A"/>
                <w:sz w:val="18"/>
                <w:szCs w:val="18"/>
              </w:rPr>
              <w:t xml:space="preserve"> </w:t>
            </w:r>
          </w:p>
        </w:tc>
      </w:tr>
      <w:tr>
        <w:tc>
          <w:tcPr>
            <w:tcW w:type="dxa" w:w="2616"/>
            <w:tcBorders>
              <w:top w:val="single" w:color="DDE1EA" w:sz="4"/>
              <w:left w:val="single" w:color="DDE1EA" w:sz="4"/>
              <w:bottom w:val="single" w:color="DDE1EA" w:sz="4"/>
              <w:right w:val="single" w:color="DDE1EA" w:sz="4"/>
            </w:tcBorders>
            <w:shd w:fill="FFFFFF" w:val="clear"/>
            <w:tcMar>
              <w:top w:type="dxa" w:w="80"/>
              <w:left w:type="dxa" w:w="120"/>
              <w:bottom w:type="dxa" w:w="80"/>
              <w:right w:type="dxa" w:w="120"/>
            </w:tcMar>
          </w:tcPr>
          <w:p>
            <w:r>
              <w:rPr>
                <w:rFonts w:ascii="Arial" w:cs="Arial" w:eastAsia="Arial" w:hAnsi="Arial"/>
                <w:color w:val="3A4A5A"/>
                <w:sz w:val="18"/>
                <w:szCs w:val="18"/>
              </w:rPr>
              <w:t xml:space="preserve"> </w:t>
            </w:r>
          </w:p>
        </w:tc>
        <w:tc>
          <w:tcPr>
            <w:tcW w:type="dxa" w:w="2617"/>
            <w:tcBorders>
              <w:top w:val="single" w:color="DDE1EA" w:sz="4"/>
              <w:left w:val="single" w:color="DDE1EA" w:sz="4"/>
              <w:bottom w:val="single" w:color="DDE1EA" w:sz="4"/>
              <w:right w:val="single" w:color="DDE1EA" w:sz="4"/>
            </w:tcBorders>
            <w:shd w:fill="FFFFFF" w:val="clear"/>
            <w:tcMar>
              <w:top w:type="dxa" w:w="80"/>
              <w:left w:type="dxa" w:w="120"/>
              <w:bottom w:type="dxa" w:w="80"/>
              <w:right w:type="dxa" w:w="120"/>
            </w:tcMar>
          </w:tcPr>
          <w:p>
            <w:r>
              <w:rPr>
                <w:rFonts w:ascii="Arial" w:cs="Arial" w:eastAsia="Arial" w:hAnsi="Arial"/>
                <w:color w:val="3A4A5A"/>
                <w:sz w:val="18"/>
                <w:szCs w:val="18"/>
              </w:rPr>
              <w:t xml:space="preserve"> </w:t>
            </w:r>
          </w:p>
        </w:tc>
        <w:tc>
          <w:tcPr>
            <w:tcW w:type="dxa" w:w="3116"/>
            <w:tcBorders>
              <w:top w:val="single" w:color="DDE1EA" w:sz="4"/>
              <w:left w:val="single" w:color="DDE1EA" w:sz="4"/>
              <w:bottom w:val="single" w:color="DDE1EA" w:sz="4"/>
              <w:right w:val="single" w:color="DDE1EA" w:sz="4"/>
            </w:tcBorders>
            <w:shd w:fill="FFFFFF" w:val="clear"/>
            <w:tcMar>
              <w:top w:type="dxa" w:w="80"/>
              <w:left w:type="dxa" w:w="120"/>
              <w:bottom w:type="dxa" w:w="80"/>
              <w:right w:type="dxa" w:w="120"/>
            </w:tcMar>
          </w:tcPr>
          <w:p>
            <w:r>
              <w:rPr>
                <w:rFonts w:ascii="Arial" w:cs="Arial" w:eastAsia="Arial" w:hAnsi="Arial"/>
                <w:color w:val="3A4A5A"/>
                <w:sz w:val="18"/>
                <w:szCs w:val="18"/>
              </w:rPr>
              <w:t xml:space="preserve"> </w:t>
            </w:r>
          </w:p>
        </w:tc>
        <w:tc>
          <w:tcPr>
            <w:tcW w:type="dxa" w:w="2117"/>
            <w:tcBorders>
              <w:top w:val="single" w:color="DDE1EA" w:sz="4"/>
              <w:left w:val="single" w:color="DDE1EA" w:sz="4"/>
              <w:bottom w:val="single" w:color="DDE1EA" w:sz="4"/>
              <w:right w:val="single" w:color="DDE1EA" w:sz="4"/>
            </w:tcBorders>
            <w:shd w:fill="FFFFFF" w:val="clear"/>
            <w:tcMar>
              <w:top w:type="dxa" w:w="80"/>
              <w:left w:type="dxa" w:w="120"/>
              <w:bottom w:type="dxa" w:w="80"/>
              <w:right w:type="dxa" w:w="120"/>
            </w:tcMar>
          </w:tcPr>
          <w:p>
            <w:r>
              <w:rPr>
                <w:rFonts w:ascii="Arial" w:cs="Arial" w:eastAsia="Arial" w:hAnsi="Arial"/>
                <w:color w:val="3A4A5A"/>
                <w:sz w:val="18"/>
                <w:szCs w:val="18"/>
              </w:rPr>
              <w:t xml:space="preserve"> </w:t>
            </w:r>
          </w:p>
        </w:tc>
      </w:tr>
    </w:tbl>
    <w:p>
      <w:pPr>
        <w:spacing w:after="0" w:before="200"/>
      </w:pPr>
    </w:p>
    <w:p>
      <w:pPr>
        <w:pStyle w:val="Heading2"/>
      </w:pPr>
      <w:r>
        <w:t xml:space="preserve">Communication and Amendments</w:t>
      </w:r>
    </w:p>
    <w:p>
      <w:pPr>
        <w:pStyle w:val="ListParagraph"/>
        <w:numPr>
          <w:ilvl w:val="0"/>
          <w:numId w:val="2"/>
        </w:numPr>
      </w:pPr>
      <w:r>
        <w:rPr>
          <w:rFonts w:ascii="Arial" w:cs="Arial" w:eastAsia="Arial" w:hAnsi="Arial"/>
          <w:color w:val="3A4A5A"/>
          <w:sz w:val="22"/>
          <w:szCs w:val="22"/>
        </w:rPr>
        <w:t xml:space="preserve">Managers and team leaders must communicate this policy to all employees reporting to them.</w:t>
      </w:r>
    </w:p>
    <w:p>
      <w:pPr>
        <w:pStyle w:val="ListParagraph"/>
        <w:numPr>
          <w:ilvl w:val="0"/>
          <w:numId w:val="2"/>
        </w:numPr>
      </w:pPr>
      <w:r>
        <w:rPr>
          <w:rFonts w:ascii="Arial" w:cs="Arial" w:eastAsia="Arial" w:hAnsi="Arial"/>
          <w:color w:val="3A4A5A"/>
          <w:sz w:val="22"/>
          <w:szCs w:val="22"/>
        </w:rPr>
        <w:t xml:space="preserve">This policy may be amended from time to time without prior consultation or notice, subject to applicable legislation.</w:t>
      </w:r>
    </w:p>
    <w:p>
      <w:pPr>
        <w:pStyle w:val="ListParagraph"/>
        <w:numPr>
          <w:ilvl w:val="0"/>
          <w:numId w:val="2"/>
        </w:numPr>
      </w:pPr>
      <w:r>
        <w:rPr>
          <w:rFonts w:ascii="Arial" w:cs="Arial" w:eastAsia="Arial" w:hAnsi="Arial"/>
          <w:color w:val="3A4A5A"/>
          <w:sz w:val="22"/>
          <w:szCs w:val="22"/>
        </w:rPr>
        <w:t xml:space="preserve">The most current version of this policy will be made available on the company intranet or shared document repository.</w:t>
      </w:r>
    </w:p>
    <w:sectPr>
      <w:headerReference w:type="default" r:id="rId7"/>
      <w:footerReference w:type="default" r:id="rId8"/>
      <w:pgSz w:w="11906" w:h="16838" w:orient="portrait"/>
      <w:pgMar w:top="720" w:right="720" w:bottom="144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466"/>
      <w:tblBorders>
        <w:top w:val="none"/>
        <w:left w:val="none"/>
        <w:bottom w:val="none"/>
        <w:right w:val="none"/>
        <w:insideH w:val="single" w:color="auto" w:sz="4"/>
        <w:insideV w:val="single" w:color="auto" w:sz="4"/>
      </w:tblBorders>
    </w:tblPr>
    <w:tblGrid>
      <w:gridCol w:w="6800"/>
      <w:gridCol w:w="3666"/>
    </w:tblGrid>
    <w:tr>
      <w:tc>
        <w:tcPr>
          <w:tcW w:type="dxa" w:w="6800"/>
          <w:tcBorders>
            <w:top w:val="single" w:color="DDE1EA" w:sz="4"/>
            <w:left w:val="none"/>
            <w:bottom w:val="none"/>
            <w:right w:val="none"/>
          </w:tcBorders>
          <w:tcMar>
            <w:top w:type="dxa" w:w="80"/>
            <w:left w:type="dxa" w:w="0"/>
            <w:bottom w:type="dxa" w:w="0"/>
            <w:right w:type="dxa" w:w="120"/>
          </w:tcMar>
        </w:tcPr>
        <w:p>
          <w:pPr>
            <w:spacing w:after="0" w:before="80"/>
          </w:pPr>
          <w:r>
            <w:rPr>
              <w:rFonts w:ascii="Arial" w:cs="Arial" w:eastAsia="Arial" w:hAnsi="Arial"/>
              <w:color w:val="8A98A8"/>
              <w:sz w:val="14"/>
              <w:szCs w:val="14"/>
            </w:rPr>
            <w:t xml:space="preserve">256 Rondebult Rd, Parkdene, Boksburg, 1459, Gauteng  |  Tel: +27(0)11-913-3320</w:t>
          </w:r>
        </w:p>
        <w:p>
          <w:pPr>
            <w:spacing w:after="0" w:before="20"/>
          </w:pPr>
          <w:r>
            <w:rPr>
              <w:rFonts w:ascii="Arial" w:cs="Arial" w:eastAsia="Arial" w:hAnsi="Arial"/>
              <w:color w:val="8A98A8"/>
              <w:sz w:val="14"/>
              <w:szCs w:val="14"/>
            </w:rPr>
            <w:t xml:space="preserve">Reg No: 1988/007393/07  |  VAT: 4210112126  |  Est. 1988</w:t>
          </w:r>
        </w:p>
        <w:p>
          <w:pPr>
            <w:spacing w:after="0" w:before="20"/>
          </w:pPr>
          <w:r>
            <w:rPr>
              <w:rFonts w:ascii="Arial" w:cs="Arial" w:eastAsia="Arial" w:hAnsi="Arial"/>
              <w:color w:val="8A98A8"/>
              <w:sz w:val="14"/>
              <w:szCs w:val="14"/>
            </w:rPr>
            <w:t xml:space="preserve">Directors: R.A. de Kock (Managing), C. Haasbroek</w:t>
          </w:r>
        </w:p>
      </w:tc>
      <w:tc>
        <w:tcPr>
          <w:tcW w:type="dxa" w:w="3666"/>
          <w:tcBorders>
            <w:top w:val="single" w:color="DDE1EA" w:sz="4"/>
            <w:left w:val="none"/>
            <w:bottom w:val="none"/>
            <w:right w:val="none"/>
          </w:tcBorders>
          <w:tcMar>
            <w:top w:type="dxa" w:w="80"/>
            <w:left w:type="dxa" w:w="120"/>
            <w:bottom w:type="dxa" w:w="0"/>
            <w:right w:type="dxa" w:w="0"/>
          </w:tcMar>
          <w:vAlign w:val="center"/>
        </w:tcPr>
        <w:p>
          <w:pPr>
            <w:spacing w:after="0" w:before="0"/>
            <w:jc w:val="right"/>
          </w:pPr>
          <w:r>
            <w:rPr>
              <w:rFonts w:ascii="Arial" w:cs="Arial" w:eastAsia="Arial" w:hAnsi="Arial"/>
              <w:color w:val="1B6FFF"/>
              <w:sz w:val="14"/>
              <w:szCs w:val="14"/>
            </w:rPr>
            <w:t xml:space="preserve">jera.co.za</w:t>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6FFF" w:sz="16" w:space="4"/>
      </w:pBdr>
      <w:spacing w:after="0"/>
      <w:jc w:val="left"/>
    </w:pPr>
    <w:r>
      <w:drawing>
        <wp:inline distT="0" distB="0" distL="0" distR="0">
          <wp:extent cx="1619250" cy="619125"/>
          <wp:effectExtent t="0" r="0" b="0" l="0"/>
          <wp:docPr id="1" name="JeraLogo" descr="Jera Consulting Logo" title="Jer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0" cy="61912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A4A5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jc w:val="center"/>
      <w:outlineLvl w:val="0"/>
    </w:pPr>
    <w:rPr>
      <w:rFonts w:ascii="Arial" w:cs="Arial" w:eastAsia="Arial" w:hAnsi="Arial"/>
      <w:b/>
      <w:bCs/>
      <w:color w:val="1A2F50"/>
      <w:sz w:val="32"/>
      <w:szCs w:val="32"/>
    </w:rPr>
  </w:style>
  <w:style w:type="paragraph" w:styleId="Heading2">
    <w:name w:val="Heading 2"/>
    <w:basedOn w:val="Normal"/>
    <w:next w:val="Normal"/>
    <w:qFormat/>
    <w:pPr>
      <w:pBdr>
        <w:bottom w:val="single" w:color="1B6FFF" w:sz="8" w:space="4"/>
      </w:pBdr>
      <w:spacing w:after="120" w:before="240"/>
      <w:outlineLvl w:val="1"/>
    </w:pPr>
    <w:rPr>
      <w:rFonts w:ascii="Arial" w:cs="Arial" w:eastAsia="Arial" w:hAnsi="Arial"/>
      <w:b/>
      <w:bCs/>
      <w:color w:val="1B6FFF"/>
      <w:sz w:val="24"/>
      <w:szCs w:val="24"/>
    </w:rPr>
  </w:style>
  <w:style w:type="paragraph" w:styleId="Heading3">
    <w:name w:val="Heading 3"/>
    <w:basedOn w:val="Normal"/>
    <w:next w:val="Normal"/>
    <w:qFormat/>
    <w:pPr>
      <w:spacing w:after="80" w:before="160"/>
      <w:outlineLvl w:val="2"/>
    </w:pPr>
    <w:rPr>
      <w:rFonts w:ascii="Arial" w:cs="Arial" w:eastAsia="Arial" w:hAnsi="Arial"/>
      <w:b/>
      <w:bCs/>
      <w:color w:val="1A2F50"/>
      <w:sz w:val="22"/>
      <w:szCs w:val="22"/>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footnotes" Target="footnote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customXml" Target="../customXml/item1.xml"/><Relationship Id="rId4" Type="http://schemas.openxmlformats.org/officeDocument/2006/relationships/endnotes" Target="endnotes.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d72655ee311d7e1297b04267f2333d1d98c19f2f.png"/></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33F60F771545E4FACCF5894FE890AE5" ma:contentTypeVersion="15" ma:contentTypeDescription="Create a new document." ma:contentTypeScope="" ma:versionID="2b5c8ba39e76d01cd5d87bb3fb98a620">
  <xsd:schema xmlns:xsd="http://www.w3.org/2001/XMLSchema" xmlns:xs="http://www.w3.org/2001/XMLSchema" xmlns:p="http://schemas.microsoft.com/office/2006/metadata/properties" xmlns:ns2="f32016ad-11d9-44d0-8f3a-f66ac62173df" xmlns:ns3="5392da11-5a5e-4873-aaa8-5acd18bf386b" targetNamespace="http://schemas.microsoft.com/office/2006/metadata/properties" ma:root="true" ma:fieldsID="6965f6421835919e11ab26e359dd715d" ns2:_="" ns3:_="">
    <xsd:import namespace="f32016ad-11d9-44d0-8f3a-f66ac62173df"/>
    <xsd:import namespace="5392da11-5a5e-4873-aaa8-5acd18bf386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2016ad-11d9-44d0-8f3a-f66ac62173d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81e0656-4278-4ea6-a847-5feef180643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392da11-5a5e-4873-aaa8-5acd18bf386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65f4919-6599-4675-964d-ce44e3cd8aec}" ma:internalName="TaxCatchAll" ma:showField="CatchAllData" ma:web="5392da11-5a5e-4873-aaa8-5acd18bf386b">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5392da11-5a5e-4873-aaa8-5acd18bf386b" xsi:nil="true"/>
    <lcf76f155ced4ddcb4097134ff3c332f xmlns="f32016ad-11d9-44d0-8f3a-f66ac62173d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62BFA6A-54EC-4E11-9D7E-A37D7015E1E0}"/>
</file>

<file path=customXml/itemProps2.xml><?xml version="1.0" encoding="utf-8"?>
<ds:datastoreItem xmlns:ds="http://schemas.openxmlformats.org/officeDocument/2006/customXml" ds:itemID="{E1DA4092-A7EF-4FFF-A22E-8F2E4AD38D39}"/>
</file>

<file path=customXml/itemProps3.xml><?xml version="1.0" encoding="utf-8"?>
<ds:datastoreItem xmlns:ds="http://schemas.openxmlformats.org/officeDocument/2006/customXml" ds:itemID="{31EEE197-8475-47CF-A14C-EE2723D68E9D}"/>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2026-04-13T13:55:38Z</dcterms:created>
  <dcterms:modified xsi:type="dcterms:W3CDTF">2026-04-13T13:55:38Z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0x010100133F60F771545E4FACCF5894FE890AE5</vt:lpwstr>
  </property>
  <property fmtid="{D5CDD505-2E9C-101B-9397-08002B2CF9AE}" pid="3" name="MediaServiceImageTags">
    <vt:lpwstr/>
  </property>
</Properties>
</file>