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1.0  |  April 2026  |  Prepared by Jera Consulting (Pty) Ltd</w:t>
      </w:r>
      <w:r>
        <w:rPr>
          <w:rFonts w:ascii="Arial" w:cs="Arial" w:eastAsia="Arial" w:hAnsi="Arial"/>
          <w:b/>
          <w:bCs/>
          <w:color w:val="1B6FFF"/>
          <w:sz w:val="17"/>
          <w:szCs w:val="17"/>
        </w:rPr>
        <w:t xml:space="preserve">	JERA-POL-HR006</w:t>
      </w:r>
    </w:p>
    <w:p>
      <w:pPr>
        <w:pStyle w:val="Heading1"/>
      </w:pPr>
      <w:r>
        <w:t xml:space="preserve">Recruitment and Selection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Objective</w:t>
      </w:r>
    </w:p>
    <w:p>
      <w:pPr>
        <w:spacing w:after="60" w:before="60"/>
      </w:pPr>
      <w:r>
        <w:rPr>
          <w:rFonts w:ascii="Arial" w:cs="Arial" w:eastAsia="Arial" w:hAnsi="Arial"/>
          <w:b w:val="false"/>
          <w:bCs w:val="false"/>
          <w:color w:val="3A4A5A"/>
          <w:sz w:val="22"/>
          <w:szCs w:val="22"/>
        </w:rPr>
        <w:t xml:space="preserve">To establish a fair, transparent and equitable recruitment and selection process that attracts, identifies and appoints the most suitable candidates while complying with all applicable South African labour legislation, including the Employment Equity Act (EEA) 1998 as amended, the Basic Conditions of Employment Act (BCEA) 1997, the Protection of Personal Information Act (POPIA) 2013, and the Children's Act 2005.</w:t>
      </w:r>
    </w:p>
    <w:p>
      <w:pPr>
        <w:pStyle w:val="Heading2"/>
      </w:pPr>
      <w:r>
        <w:t xml:space="preserve">2. Scope</w:t>
      </w:r>
    </w:p>
    <w:p>
      <w:pPr>
        <w:spacing w:after="60" w:before="60"/>
      </w:pPr>
      <w:r>
        <w:rPr>
          <w:rFonts w:ascii="Arial" w:cs="Arial" w:eastAsia="Arial" w:hAnsi="Arial"/>
          <w:b w:val="false"/>
          <w:bCs w:val="false"/>
          <w:color w:val="3A4A5A"/>
          <w:sz w:val="22"/>
          <w:szCs w:val="22"/>
        </w:rPr>
        <w:t xml:space="preserve">This policy applies to all positions at Jera Consulting (Pty) Ltd, including permanent, fixed-term contract, and temporary roles. It covers the entire recruitment and selection process from vacancy identification through appointment and probation.</w:t>
      </w:r>
    </w:p>
    <w:p>
      <w:pPr>
        <w:pStyle w:val="Heading2"/>
      </w:pPr>
      <w:r>
        <w:t xml:space="preserve">3. Policy</w:t>
      </w:r>
    </w:p>
    <w:p>
      <w:pPr>
        <w:pStyle w:val="Heading3"/>
      </w:pPr>
      <w:r>
        <w:t xml:space="preserve">3.1 Employment Equity and B-BBEE Compliance</w:t>
      </w:r>
    </w:p>
    <w:p>
      <w:pPr>
        <w:pStyle w:val="ListParagraph"/>
        <w:numPr>
          <w:ilvl w:val="0"/>
          <w:numId w:val="2"/>
        </w:numPr>
      </w:pPr>
      <w:r>
        <w:rPr>
          <w:rFonts w:ascii="Arial" w:cs="Arial" w:eastAsia="Arial" w:hAnsi="Arial"/>
          <w:color w:val="3A4A5A"/>
          <w:sz w:val="22"/>
          <w:szCs w:val="22"/>
        </w:rPr>
        <w:t xml:space="preserve">Jera Consulting is committed to promoting employment equity and advancing B-BBEE (Broad-Based Black Economic Empowerment) objectives in accordance with the EEA 1998 (as amended 2020).</w:t>
      </w:r>
    </w:p>
    <w:p>
      <w:pPr>
        <w:pStyle w:val="ListParagraph"/>
        <w:numPr>
          <w:ilvl w:val="0"/>
          <w:numId w:val="2"/>
        </w:numPr>
      </w:pPr>
      <w:r>
        <w:rPr>
          <w:rFonts w:ascii="Arial" w:cs="Arial" w:eastAsia="Arial" w:hAnsi="Arial"/>
          <w:color w:val="3A4A5A"/>
          <w:sz w:val="22"/>
          <w:szCs w:val="22"/>
        </w:rPr>
        <w:t xml:space="preserve">Recruitment and selection will actively address historical imbalances and promote equity across race, gender, disability, and other designated grounds as per the EEA.</w:t>
      </w:r>
    </w:p>
    <w:p>
      <w:pPr>
        <w:pStyle w:val="ListParagraph"/>
        <w:numPr>
          <w:ilvl w:val="0"/>
          <w:numId w:val="2"/>
        </w:numPr>
      </w:pPr>
      <w:r>
        <w:rPr>
          <w:rFonts w:ascii="Arial" w:cs="Arial" w:eastAsia="Arial" w:hAnsi="Arial"/>
          <w:color w:val="3A4A5A"/>
          <w:sz w:val="22"/>
          <w:szCs w:val="22"/>
        </w:rPr>
        <w:t xml:space="preserve">Advertisement of positions will encourage applications from designated groups and reflect the company's commitment to diversity.</w:t>
      </w:r>
    </w:p>
    <w:p>
      <w:pPr>
        <w:pStyle w:val="ListParagraph"/>
        <w:numPr>
          <w:ilvl w:val="0"/>
          <w:numId w:val="2"/>
        </w:numPr>
      </w:pPr>
      <w:r>
        <w:rPr>
          <w:rFonts w:ascii="Arial" w:cs="Arial" w:eastAsia="Arial" w:hAnsi="Arial"/>
          <w:color w:val="3A4A5A"/>
          <w:sz w:val="22"/>
          <w:szCs w:val="22"/>
        </w:rPr>
        <w:t xml:space="preserve">Selection criteria will be job-related and applied consistently to all candidates, regardless of designated group status.</w:t>
      </w:r>
    </w:p>
    <w:p>
      <w:pPr>
        <w:pStyle w:val="Heading3"/>
      </w:pPr>
      <w:r>
        <w:t xml:space="preserve">3.2 Fair Selection Practices</w:t>
      </w:r>
    </w:p>
    <w:p>
      <w:pPr>
        <w:pStyle w:val="ListParagraph"/>
        <w:numPr>
          <w:ilvl w:val="0"/>
          <w:numId w:val="2"/>
        </w:numPr>
      </w:pPr>
      <w:r>
        <w:rPr>
          <w:rFonts w:ascii="Arial" w:cs="Arial" w:eastAsia="Arial" w:hAnsi="Arial"/>
          <w:color w:val="3A4A5A"/>
          <w:sz w:val="22"/>
          <w:szCs w:val="22"/>
        </w:rPr>
        <w:t xml:space="preserve">All recruitment decisions must be based on merit and job-related competencies.</w:t>
      </w:r>
    </w:p>
    <w:p>
      <w:pPr>
        <w:pStyle w:val="ListParagraph"/>
        <w:numPr>
          <w:ilvl w:val="0"/>
          <w:numId w:val="2"/>
        </w:numPr>
      </w:pPr>
      <w:r>
        <w:rPr>
          <w:rFonts w:ascii="Arial" w:cs="Arial" w:eastAsia="Arial" w:hAnsi="Arial"/>
          <w:color w:val="3A4A5A"/>
          <w:sz w:val="22"/>
          <w:szCs w:val="22"/>
        </w:rPr>
        <w:t xml:space="preserve">Selection panels should be diverse, including representation from different departments and levels where possible.</w:t>
      </w:r>
    </w:p>
    <w:p>
      <w:pPr>
        <w:pStyle w:val="ListParagraph"/>
        <w:numPr>
          <w:ilvl w:val="0"/>
          <w:numId w:val="2"/>
        </w:numPr>
      </w:pPr>
      <w:r>
        <w:rPr>
          <w:rFonts w:ascii="Arial" w:cs="Arial" w:eastAsia="Arial" w:hAnsi="Arial"/>
          <w:color w:val="3A4A5A"/>
          <w:sz w:val="22"/>
          <w:szCs w:val="22"/>
        </w:rPr>
        <w:t xml:space="preserve">Candidates must be treated with dignity and respect throughout the process.</w:t>
      </w:r>
    </w:p>
    <w:p>
      <w:pPr>
        <w:pStyle w:val="ListParagraph"/>
        <w:numPr>
          <w:ilvl w:val="0"/>
          <w:numId w:val="2"/>
        </w:numPr>
      </w:pPr>
      <w:r>
        <w:rPr>
          <w:rFonts w:ascii="Arial" w:cs="Arial" w:eastAsia="Arial" w:hAnsi="Arial"/>
          <w:color w:val="3A4A5A"/>
          <w:sz w:val="22"/>
          <w:szCs w:val="22"/>
        </w:rPr>
        <w:t xml:space="preserve">All candidates must receive clear communication regarding application status and interview timelines.</w:t>
      </w:r>
    </w:p>
    <w:p>
      <w:pPr>
        <w:pStyle w:val="Heading3"/>
      </w:pPr>
      <w:r>
        <w:t xml:space="preserve">3.3 Probation Period</w:t>
      </w:r>
    </w:p>
    <w:p>
      <w:pPr>
        <w:spacing w:after="60" w:before="60"/>
      </w:pPr>
      <w:r>
        <w:rPr>
          <w:rFonts w:ascii="Arial" w:cs="Arial" w:eastAsia="Arial" w:hAnsi="Arial"/>
          <w:b w:val="false"/>
          <w:bCs w:val="false"/>
          <w:color w:val="3A4A5A"/>
          <w:sz w:val="22"/>
          <w:szCs w:val="22"/>
        </w:rPr>
        <w:t xml:space="preserve">In accordance with BCEA provisions:</w:t>
      </w:r>
    </w:p>
    <w:p>
      <w:pPr>
        <w:pStyle w:val="ListParagraph"/>
        <w:numPr>
          <w:ilvl w:val="0"/>
          <w:numId w:val="2"/>
        </w:numPr>
      </w:pPr>
      <w:r>
        <w:rPr>
          <w:rFonts w:ascii="Arial" w:cs="Arial" w:eastAsia="Arial" w:hAnsi="Arial"/>
          <w:color w:val="3A4A5A"/>
          <w:sz w:val="22"/>
          <w:szCs w:val="22"/>
        </w:rPr>
        <w:t xml:space="preserve">Probation periods shall be reasonable and typically between 3-6 months depending on role complexity.</w:t>
      </w:r>
    </w:p>
    <w:p>
      <w:pPr>
        <w:pStyle w:val="ListParagraph"/>
        <w:numPr>
          <w:ilvl w:val="0"/>
          <w:numId w:val="2"/>
        </w:numPr>
      </w:pPr>
      <w:r>
        <w:rPr>
          <w:rFonts w:ascii="Arial" w:cs="Arial" w:eastAsia="Arial" w:hAnsi="Arial"/>
          <w:color w:val="3A4A5A"/>
          <w:sz w:val="22"/>
          <w:szCs w:val="22"/>
        </w:rPr>
        <w:t xml:space="preserve">Probation periods exceeding 6 months require justification and documented business reason.</w:t>
      </w:r>
    </w:p>
    <w:p>
      <w:pPr>
        <w:pStyle w:val="ListParagraph"/>
        <w:numPr>
          <w:ilvl w:val="0"/>
          <w:numId w:val="2"/>
        </w:numPr>
      </w:pPr>
      <w:r>
        <w:rPr>
          <w:rFonts w:ascii="Arial" w:cs="Arial" w:eastAsia="Arial" w:hAnsi="Arial"/>
          <w:color w:val="3A4A5A"/>
          <w:sz w:val="22"/>
          <w:szCs w:val="22"/>
        </w:rPr>
        <w:t xml:space="preserve">During probation, performance must be monitored and feedback provided regularly.</w:t>
      </w:r>
    </w:p>
    <w:p>
      <w:pPr>
        <w:pStyle w:val="ListParagraph"/>
        <w:numPr>
          <w:ilvl w:val="0"/>
          <w:numId w:val="2"/>
        </w:numPr>
      </w:pPr>
      <w:r>
        <w:rPr>
          <w:rFonts w:ascii="Arial" w:cs="Arial" w:eastAsia="Arial" w:hAnsi="Arial"/>
          <w:color w:val="3A4A5A"/>
          <w:sz w:val="22"/>
          <w:szCs w:val="22"/>
        </w:rPr>
        <w:t xml:space="preserve">At the conclusion of probation, a formal assessment must be documented.</w:t>
      </w:r>
    </w:p>
    <w:p>
      <w:pPr>
        <w:pStyle w:val="ListParagraph"/>
        <w:numPr>
          <w:ilvl w:val="0"/>
          <w:numId w:val="2"/>
        </w:numPr>
      </w:pPr>
      <w:r>
        <w:rPr>
          <w:rFonts w:ascii="Arial" w:cs="Arial" w:eastAsia="Arial" w:hAnsi="Arial"/>
          <w:color w:val="3A4A5A"/>
          <w:sz w:val="22"/>
          <w:szCs w:val="22"/>
        </w:rPr>
        <w:t xml:space="preserve">Probation does not exempt employees from statutory rights or protections under the BCEA or other applicable legislation.</w:t>
      </w:r>
    </w:p>
    <w:p>
      <w:pPr>
        <w:pStyle w:val="Heading3"/>
      </w:pPr>
      <w:r>
        <w:t xml:space="preserve">3.4 Filling Vacancies</w:t>
      </w:r>
    </w:p>
    <w:p>
      <w:pPr>
        <w:pStyle w:val="ListParagraph"/>
        <w:numPr>
          <w:ilvl w:val="0"/>
          <w:numId w:val="2"/>
        </w:numPr>
      </w:pPr>
      <w:r>
        <w:rPr>
          <w:rFonts w:ascii="Arial" w:cs="Arial" w:eastAsia="Arial" w:hAnsi="Arial"/>
          <w:color w:val="3A4A5A"/>
          <w:sz w:val="22"/>
          <w:szCs w:val="22"/>
        </w:rPr>
        <w:t xml:space="preserve">All vacancies will be reviewed to assess whether the position is still required, can be restructured, or may be combined with other roles.</w:t>
      </w:r>
    </w:p>
    <w:p>
      <w:pPr>
        <w:pStyle w:val="ListParagraph"/>
        <w:numPr>
          <w:ilvl w:val="0"/>
          <w:numId w:val="2"/>
        </w:numPr>
      </w:pPr>
      <w:r>
        <w:rPr>
          <w:rFonts w:ascii="Arial" w:cs="Arial" w:eastAsia="Arial" w:hAnsi="Arial"/>
          <w:color w:val="3A4A5A"/>
          <w:sz w:val="22"/>
          <w:szCs w:val="22"/>
        </w:rPr>
        <w:t xml:space="preserve">Internal applicants are encouraged and will be considered fairly alongside external candidates.</w:t>
      </w:r>
    </w:p>
    <w:p>
      <w:pPr>
        <w:pStyle w:val="ListParagraph"/>
        <w:numPr>
          <w:ilvl w:val="0"/>
          <w:numId w:val="2"/>
        </w:numPr>
      </w:pPr>
      <w:r>
        <w:rPr>
          <w:rFonts w:ascii="Arial" w:cs="Arial" w:eastAsia="Arial" w:hAnsi="Arial"/>
          <w:color w:val="3A4A5A"/>
          <w:sz w:val="22"/>
          <w:szCs w:val="22"/>
        </w:rPr>
        <w:t xml:space="preserve">Vacant positions will be advertised internally for a minimum of 5 working days before external advertisement.</w:t>
      </w:r>
    </w:p>
    <w:p>
      <w:pPr>
        <w:pStyle w:val="Heading3"/>
      </w:pPr>
      <w:r>
        <w:t xml:space="preserve">3.5 Internal and External Recruitment</w:t>
      </w:r>
    </w:p>
    <w:p>
      <w:pPr>
        <w:spacing w:after="60" w:before="60"/>
      </w:pPr>
      <w:r>
        <w:rPr>
          <w:rFonts w:ascii="Arial" w:cs="Arial" w:eastAsia="Arial" w:hAnsi="Arial"/>
          <w:b w:val="false"/>
          <w:bCs w:val="false"/>
          <w:color w:val="3A4A5A"/>
          <w:sz w:val="22"/>
          <w:szCs w:val="22"/>
        </w:rPr>
        <w:t xml:space="preserve">Internal Recruitment:</w:t>
      </w:r>
    </w:p>
    <w:p>
      <w:pPr>
        <w:pStyle w:val="ListParagraph"/>
        <w:numPr>
          <w:ilvl w:val="0"/>
          <w:numId w:val="2"/>
        </w:numPr>
      </w:pPr>
      <w:r>
        <w:rPr>
          <w:rFonts w:ascii="Arial" w:cs="Arial" w:eastAsia="Arial" w:hAnsi="Arial"/>
          <w:color w:val="3A4A5A"/>
          <w:sz w:val="22"/>
          <w:szCs w:val="22"/>
        </w:rPr>
        <w:t xml:space="preserve">Employees are encouraged to apply for available positions.</w:t>
      </w:r>
    </w:p>
    <w:p>
      <w:pPr>
        <w:pStyle w:val="ListParagraph"/>
        <w:numPr>
          <w:ilvl w:val="0"/>
          <w:numId w:val="2"/>
        </w:numPr>
      </w:pPr>
      <w:r>
        <w:rPr>
          <w:rFonts w:ascii="Arial" w:cs="Arial" w:eastAsia="Arial" w:hAnsi="Arial"/>
          <w:color w:val="3A4A5A"/>
          <w:sz w:val="22"/>
          <w:szCs w:val="22"/>
        </w:rPr>
        <w:t xml:space="preserve">Internal candidates will be notified of vacancies and given equal opportunity to apply.</w:t>
      </w:r>
    </w:p>
    <w:p>
      <w:pPr>
        <w:pStyle w:val="ListParagraph"/>
        <w:numPr>
          <w:ilvl w:val="0"/>
          <w:numId w:val="2"/>
        </w:numPr>
      </w:pPr>
      <w:r>
        <w:rPr>
          <w:rFonts w:ascii="Arial" w:cs="Arial" w:eastAsia="Arial" w:hAnsi="Arial"/>
          <w:color w:val="3A4A5A"/>
          <w:sz w:val="22"/>
          <w:szCs w:val="22"/>
        </w:rPr>
        <w:t xml:space="preserve">Internal candidates who are unsuccessful will receive feedback on their application.</w:t>
      </w:r>
    </w:p>
    <w:p>
      <w:pPr>
        <w:spacing w:after="60" w:before="60"/>
      </w:pPr>
      <w:r>
        <w:rPr>
          <w:rFonts w:ascii="Arial" w:cs="Arial" w:eastAsia="Arial" w:hAnsi="Arial"/>
          <w:b w:val="false"/>
          <w:bCs w:val="false"/>
          <w:color w:val="3A4A5A"/>
          <w:sz w:val="22"/>
          <w:szCs w:val="22"/>
        </w:rPr>
        <w:t xml:space="preserve">External Recruitment:</w:t>
      </w:r>
    </w:p>
    <w:p>
      <w:pPr>
        <w:pStyle w:val="ListParagraph"/>
        <w:numPr>
          <w:ilvl w:val="0"/>
          <w:numId w:val="2"/>
        </w:numPr>
      </w:pPr>
      <w:r>
        <w:rPr>
          <w:rFonts w:ascii="Arial" w:cs="Arial" w:eastAsia="Arial" w:hAnsi="Arial"/>
          <w:color w:val="3A4A5A"/>
          <w:sz w:val="22"/>
          <w:szCs w:val="22"/>
        </w:rPr>
        <w:t xml:space="preserve">External recruitment may occur through job boards (including LinkedIn and professional job portals), recruitment agencies, direct approach, or employee referral.</w:t>
      </w:r>
    </w:p>
    <w:p>
      <w:pPr>
        <w:pStyle w:val="ListParagraph"/>
        <w:numPr>
          <w:ilvl w:val="0"/>
          <w:numId w:val="2"/>
        </w:numPr>
      </w:pPr>
      <w:r>
        <w:rPr>
          <w:rFonts w:ascii="Arial" w:cs="Arial" w:eastAsia="Arial" w:hAnsi="Arial"/>
          <w:color w:val="3A4A5A"/>
          <w:sz w:val="22"/>
          <w:szCs w:val="22"/>
        </w:rPr>
        <w:t xml:space="preserve">All external candidates must complete formal application forms or online applications.</w:t>
      </w:r>
    </w:p>
    <w:p>
      <w:pPr>
        <w:pStyle w:val="ListParagraph"/>
        <w:numPr>
          <w:ilvl w:val="0"/>
          <w:numId w:val="2"/>
        </w:numPr>
      </w:pPr>
      <w:r>
        <w:rPr>
          <w:rFonts w:ascii="Arial" w:cs="Arial" w:eastAsia="Arial" w:hAnsi="Arial"/>
          <w:color w:val="3A4A5A"/>
          <w:sz w:val="22"/>
          <w:szCs w:val="22"/>
        </w:rPr>
        <w:t xml:space="preserve">Advertisement copy must reflect the company's commitment to employment equity and welcome applications from designated groups.</w:t>
      </w:r>
    </w:p>
    <w:p>
      <w:pPr>
        <w:pStyle w:val="Heading3"/>
      </w:pPr>
      <w:r>
        <w:t xml:space="preserve">3.6 Interviews and Assessment</w:t>
      </w:r>
    </w:p>
    <w:p>
      <w:pPr>
        <w:pStyle w:val="ListParagraph"/>
        <w:numPr>
          <w:ilvl w:val="0"/>
          <w:numId w:val="2"/>
        </w:numPr>
      </w:pPr>
      <w:r>
        <w:rPr>
          <w:rFonts w:ascii="Arial" w:cs="Arial" w:eastAsia="Arial" w:hAnsi="Arial"/>
          <w:color w:val="3A4A5A"/>
          <w:sz w:val="22"/>
          <w:szCs w:val="22"/>
        </w:rPr>
        <w:t xml:space="preserve">Structured interviews will be conducted by trained panel members using a consistent set of questions and evaluation criteria.</w:t>
      </w:r>
    </w:p>
    <w:p>
      <w:pPr>
        <w:pStyle w:val="ListParagraph"/>
        <w:numPr>
          <w:ilvl w:val="0"/>
          <w:numId w:val="2"/>
        </w:numPr>
      </w:pPr>
      <w:r>
        <w:rPr>
          <w:rFonts w:ascii="Arial" w:cs="Arial" w:eastAsia="Arial" w:hAnsi="Arial"/>
          <w:color w:val="3A4A5A"/>
          <w:sz w:val="22"/>
          <w:szCs w:val="22"/>
        </w:rPr>
        <w:t xml:space="preserve">Competency-based questions will assess required technical and soft skills for the role.</w:t>
      </w:r>
    </w:p>
    <w:p>
      <w:pPr>
        <w:pStyle w:val="ListParagraph"/>
        <w:numPr>
          <w:ilvl w:val="0"/>
          <w:numId w:val="2"/>
        </w:numPr>
      </w:pPr>
      <w:r>
        <w:rPr>
          <w:rFonts w:ascii="Arial" w:cs="Arial" w:eastAsia="Arial" w:hAnsi="Arial"/>
          <w:color w:val="3A4A5A"/>
          <w:sz w:val="22"/>
          <w:szCs w:val="22"/>
        </w:rPr>
        <w:t xml:space="preserve">Interview notes must be documented and retained.</w:t>
      </w:r>
    </w:p>
    <w:p>
      <w:pPr>
        <w:pStyle w:val="ListParagraph"/>
        <w:numPr>
          <w:ilvl w:val="0"/>
          <w:numId w:val="2"/>
        </w:numPr>
      </w:pPr>
      <w:r>
        <w:rPr>
          <w:rFonts w:ascii="Arial" w:cs="Arial" w:eastAsia="Arial" w:hAnsi="Arial"/>
          <w:color w:val="3A4A5A"/>
          <w:sz w:val="22"/>
          <w:szCs w:val="22"/>
        </w:rPr>
        <w:t xml:space="preserve">All candidates interviewed must be informed of the outcome in writing.</w:t>
      </w:r>
    </w:p>
    <w:p>
      <w:pPr>
        <w:pStyle w:val="Heading3"/>
      </w:pPr>
      <w:r>
        <w:t xml:space="preserve">3.7 Psychometric and Competency Testing</w:t>
      </w:r>
    </w:p>
    <w:p>
      <w:pPr>
        <w:spacing w:after="60" w:before="60"/>
      </w:pPr>
      <w:r>
        <w:rPr>
          <w:rFonts w:ascii="Arial" w:cs="Arial" w:eastAsia="Arial" w:hAnsi="Arial"/>
          <w:b w:val="false"/>
          <w:bCs w:val="false"/>
          <w:color w:val="3A4A5A"/>
          <w:sz w:val="22"/>
          <w:szCs w:val="22"/>
        </w:rPr>
        <w:t xml:space="preserve">Where psychometric or competency assessments are used:</w:t>
      </w:r>
    </w:p>
    <w:p>
      <w:pPr>
        <w:pStyle w:val="ListParagraph"/>
        <w:numPr>
          <w:ilvl w:val="0"/>
          <w:numId w:val="2"/>
        </w:numPr>
      </w:pPr>
      <w:r>
        <w:rPr>
          <w:rFonts w:ascii="Arial" w:cs="Arial" w:eastAsia="Arial" w:hAnsi="Arial"/>
          <w:color w:val="3A4A5A"/>
          <w:sz w:val="22"/>
          <w:szCs w:val="22"/>
        </w:rPr>
        <w:t xml:space="preserve">Tests must comply with the EEA s8 requirements and be validated for the role and context.</w:t>
      </w:r>
    </w:p>
    <w:p>
      <w:pPr>
        <w:pStyle w:val="ListParagraph"/>
        <w:numPr>
          <w:ilvl w:val="0"/>
          <w:numId w:val="2"/>
        </w:numPr>
      </w:pPr>
      <w:r>
        <w:rPr>
          <w:rFonts w:ascii="Arial" w:cs="Arial" w:eastAsia="Arial" w:hAnsi="Arial"/>
          <w:color w:val="3A4A5A"/>
          <w:sz w:val="22"/>
          <w:szCs w:val="22"/>
        </w:rPr>
        <w:t xml:space="preserve">Results must not be used as the sole selection criterion.</w:t>
      </w:r>
    </w:p>
    <w:p>
      <w:pPr>
        <w:pStyle w:val="ListParagraph"/>
        <w:numPr>
          <w:ilvl w:val="0"/>
          <w:numId w:val="2"/>
        </w:numPr>
      </w:pPr>
      <w:r>
        <w:rPr>
          <w:rFonts w:ascii="Arial" w:cs="Arial" w:eastAsia="Arial" w:hAnsi="Arial"/>
          <w:color w:val="3A4A5A"/>
          <w:sz w:val="22"/>
          <w:szCs w:val="22"/>
        </w:rPr>
        <w:t xml:space="preserve">Candidates with disabilities must be provided reasonable accommodation, including alternative formats or additional time.</w:t>
      </w:r>
    </w:p>
    <w:p>
      <w:pPr>
        <w:pStyle w:val="ListParagraph"/>
        <w:numPr>
          <w:ilvl w:val="0"/>
          <w:numId w:val="2"/>
        </w:numPr>
      </w:pPr>
      <w:r>
        <w:rPr>
          <w:rFonts w:ascii="Arial" w:cs="Arial" w:eastAsia="Arial" w:hAnsi="Arial"/>
          <w:color w:val="3A4A5A"/>
          <w:sz w:val="22"/>
          <w:szCs w:val="22"/>
        </w:rPr>
        <w:t xml:space="preserve">Test results are confidential and disclosed only to those involved in the selection decision.</w:t>
      </w:r>
    </w:p>
    <w:p>
      <w:pPr>
        <w:pStyle w:val="ListParagraph"/>
        <w:numPr>
          <w:ilvl w:val="0"/>
          <w:numId w:val="2"/>
        </w:numPr>
      </w:pPr>
      <w:r>
        <w:rPr>
          <w:rFonts w:ascii="Arial" w:cs="Arial" w:eastAsia="Arial" w:hAnsi="Arial"/>
          <w:color w:val="3A4A5A"/>
          <w:sz w:val="22"/>
          <w:szCs w:val="22"/>
        </w:rPr>
        <w:t xml:space="preserve">The company will ensure tests are culturally appropriate and non-discriminatory.</w:t>
      </w:r>
    </w:p>
    <w:p>
      <w:pPr>
        <w:pStyle w:val="Heading3"/>
      </w:pPr>
      <w:r>
        <w:t xml:space="preserve">3.8 Reference Checks</w:t>
      </w:r>
    </w:p>
    <w:p>
      <w:pPr>
        <w:pStyle w:val="ListParagraph"/>
        <w:numPr>
          <w:ilvl w:val="0"/>
          <w:numId w:val="2"/>
        </w:numPr>
      </w:pPr>
      <w:r>
        <w:rPr>
          <w:rFonts w:ascii="Arial" w:cs="Arial" w:eastAsia="Arial" w:hAnsi="Arial"/>
          <w:color w:val="3A4A5A"/>
          <w:sz w:val="22"/>
          <w:szCs w:val="22"/>
        </w:rPr>
        <w:t xml:space="preserve">Candidate consent must be obtained before contacting previous employers or referees.</w:t>
      </w:r>
    </w:p>
    <w:p>
      <w:pPr>
        <w:pStyle w:val="ListParagraph"/>
        <w:numPr>
          <w:ilvl w:val="0"/>
          <w:numId w:val="2"/>
        </w:numPr>
      </w:pPr>
      <w:r>
        <w:rPr>
          <w:rFonts w:ascii="Arial" w:cs="Arial" w:eastAsia="Arial" w:hAnsi="Arial"/>
          <w:color w:val="3A4A5A"/>
          <w:sz w:val="22"/>
          <w:szCs w:val="22"/>
        </w:rPr>
        <w:t xml:space="preserve">Reference checks must be documented and retained.</w:t>
      </w:r>
    </w:p>
    <w:p>
      <w:pPr>
        <w:pStyle w:val="ListParagraph"/>
        <w:numPr>
          <w:ilvl w:val="0"/>
          <w:numId w:val="2"/>
        </w:numPr>
      </w:pPr>
      <w:r>
        <w:rPr>
          <w:rFonts w:ascii="Arial" w:cs="Arial" w:eastAsia="Arial" w:hAnsi="Arial"/>
          <w:color w:val="3A4A5A"/>
          <w:sz w:val="22"/>
          <w:szCs w:val="22"/>
        </w:rPr>
        <w:t xml:space="preserve">Requests for references must be limited to job-relevant information.</w:t>
      </w:r>
    </w:p>
    <w:p>
      <w:pPr>
        <w:pStyle w:val="ListParagraph"/>
        <w:numPr>
          <w:ilvl w:val="0"/>
          <w:numId w:val="2"/>
        </w:numPr>
      </w:pPr>
      <w:r>
        <w:rPr>
          <w:rFonts w:ascii="Arial" w:cs="Arial" w:eastAsia="Arial" w:hAnsi="Arial"/>
          <w:color w:val="3A4A5A"/>
          <w:sz w:val="22"/>
          <w:szCs w:val="22"/>
        </w:rPr>
        <w:t xml:space="preserve">All candidates should be given the opportunity to provide references and to know what references have been obtained.</w:t>
      </w:r>
    </w:p>
    <w:p>
      <w:pPr>
        <w:pStyle w:val="Heading3"/>
      </w:pPr>
      <w:r>
        <w:t xml:space="preserve">3.9 Background Screening and Vetting</w:t>
      </w:r>
    </w:p>
    <w:p>
      <w:pPr>
        <w:spacing w:after="60" w:before="60"/>
      </w:pPr>
      <w:r>
        <w:rPr>
          <w:rFonts w:ascii="Arial" w:cs="Arial" w:eastAsia="Arial" w:hAnsi="Arial"/>
          <w:b w:val="false"/>
          <w:bCs w:val="false"/>
          <w:color w:val="3A4A5A"/>
          <w:sz w:val="22"/>
          <w:szCs w:val="22"/>
        </w:rPr>
        <w:t xml:space="preserve">For certain positions (e.g., finance, child-related roles), background screening may be required:</w:t>
      </w:r>
    </w:p>
    <w:p>
      <w:pPr>
        <w:pStyle w:val="ListParagraph"/>
        <w:numPr>
          <w:ilvl w:val="0"/>
          <w:numId w:val="2"/>
        </w:numPr>
      </w:pPr>
      <w:r>
        <w:rPr>
          <w:rFonts w:ascii="Arial" w:cs="Arial" w:eastAsia="Arial" w:hAnsi="Arial"/>
          <w:color w:val="3A4A5A"/>
          <w:sz w:val="22"/>
          <w:szCs w:val="22"/>
        </w:rPr>
        <w:t xml:space="preserve">Candidate written consent must be obtained before conducting background checks.</w:t>
      </w:r>
    </w:p>
    <w:p>
      <w:pPr>
        <w:pStyle w:val="ListParagraph"/>
        <w:numPr>
          <w:ilvl w:val="0"/>
          <w:numId w:val="2"/>
        </w:numPr>
      </w:pPr>
      <w:r>
        <w:rPr>
          <w:rFonts w:ascii="Arial" w:cs="Arial" w:eastAsia="Arial" w:hAnsi="Arial"/>
          <w:color w:val="3A4A5A"/>
          <w:sz w:val="22"/>
          <w:szCs w:val="22"/>
        </w:rPr>
        <w:t xml:space="preserve">Checks may include criminal record verification, credit checks (where relevant), or professional credential verification.</w:t>
      </w:r>
    </w:p>
    <w:p>
      <w:pPr>
        <w:pStyle w:val="ListParagraph"/>
        <w:numPr>
          <w:ilvl w:val="0"/>
          <w:numId w:val="2"/>
        </w:numPr>
      </w:pPr>
      <w:r>
        <w:rPr>
          <w:rFonts w:ascii="Arial" w:cs="Arial" w:eastAsia="Arial" w:hAnsi="Arial"/>
          <w:color w:val="3A4A5A"/>
          <w:sz w:val="22"/>
          <w:szCs w:val="22"/>
        </w:rPr>
        <w:t xml:space="preserve">Any adverse findings must be communicated to the candidate who may provide explanation before final decision.</w:t>
      </w:r>
    </w:p>
    <w:p>
      <w:pPr>
        <w:pStyle w:val="ListParagraph"/>
        <w:numPr>
          <w:ilvl w:val="0"/>
          <w:numId w:val="2"/>
        </w:numPr>
      </w:pPr>
      <w:r>
        <w:rPr>
          <w:rFonts w:ascii="Arial" w:cs="Arial" w:eastAsia="Arial" w:hAnsi="Arial"/>
          <w:color w:val="3A4A5A"/>
          <w:sz w:val="22"/>
          <w:szCs w:val="22"/>
        </w:rPr>
        <w:t xml:space="preserve">Background screening will comply with POPIA requirements regarding personal information handling.</w:t>
      </w:r>
    </w:p>
    <w:p>
      <w:pPr>
        <w:pStyle w:val="Heading3"/>
      </w:pPr>
      <w:r>
        <w:t xml:space="preserve">3.10 POPIA Compliance</w:t>
      </w:r>
    </w:p>
    <w:p>
      <w:pPr>
        <w:spacing w:after="60" w:before="60"/>
      </w:pPr>
      <w:r>
        <w:rPr>
          <w:rFonts w:ascii="Arial" w:cs="Arial" w:eastAsia="Arial" w:hAnsi="Arial"/>
          <w:b w:val="false"/>
          <w:bCs w:val="false"/>
          <w:color w:val="3A4A5A"/>
          <w:sz w:val="22"/>
          <w:szCs w:val="22"/>
        </w:rPr>
        <w:t xml:space="preserve">All personal information collected during recruitment will be handled in accordance with POPIA:</w:t>
      </w:r>
    </w:p>
    <w:p>
      <w:pPr>
        <w:pStyle w:val="ListParagraph"/>
        <w:numPr>
          <w:ilvl w:val="0"/>
          <w:numId w:val="2"/>
        </w:numPr>
      </w:pPr>
      <w:r>
        <w:rPr>
          <w:rFonts w:ascii="Arial" w:cs="Arial" w:eastAsia="Arial" w:hAnsi="Arial"/>
          <w:color w:val="3A4A5A"/>
          <w:sz w:val="22"/>
          <w:szCs w:val="22"/>
        </w:rPr>
        <w:t xml:space="preserve">Candidates will be informed how their data will be used and retained.</w:t>
      </w:r>
    </w:p>
    <w:p>
      <w:pPr>
        <w:pStyle w:val="ListParagraph"/>
        <w:numPr>
          <w:ilvl w:val="0"/>
          <w:numId w:val="2"/>
        </w:numPr>
      </w:pPr>
      <w:r>
        <w:rPr>
          <w:rFonts w:ascii="Arial" w:cs="Arial" w:eastAsia="Arial" w:hAnsi="Arial"/>
          <w:color w:val="3A4A5A"/>
          <w:sz w:val="22"/>
          <w:szCs w:val="22"/>
        </w:rPr>
        <w:t xml:space="preserve">Personal information will be stored securely and access limited to relevant selection panel members.</w:t>
      </w:r>
    </w:p>
    <w:p>
      <w:pPr>
        <w:pStyle w:val="ListParagraph"/>
        <w:numPr>
          <w:ilvl w:val="0"/>
          <w:numId w:val="2"/>
        </w:numPr>
      </w:pPr>
      <w:r>
        <w:rPr>
          <w:rFonts w:ascii="Arial" w:cs="Arial" w:eastAsia="Arial" w:hAnsi="Arial"/>
          <w:color w:val="3A4A5A"/>
          <w:sz w:val="22"/>
          <w:szCs w:val="22"/>
        </w:rPr>
        <w:t xml:space="preserve">Information from unsuccessful candidates will be deleted after 6 months unless required to be retained by law.</w:t>
      </w:r>
    </w:p>
    <w:p>
      <w:pPr>
        <w:pStyle w:val="ListParagraph"/>
        <w:numPr>
          <w:ilvl w:val="0"/>
          <w:numId w:val="2"/>
        </w:numPr>
      </w:pPr>
      <w:r>
        <w:rPr>
          <w:rFonts w:ascii="Arial" w:cs="Arial" w:eastAsia="Arial" w:hAnsi="Arial"/>
          <w:color w:val="3A4A5A"/>
          <w:sz w:val="22"/>
          <w:szCs w:val="22"/>
        </w:rPr>
        <w:t xml:space="preserve">Candidates have the right to access and correct their personal information.</w:t>
      </w:r>
    </w:p>
    <w:p>
      <w:pPr>
        <w:pStyle w:val="Heading3"/>
      </w:pPr>
      <w:r>
        <w:t xml:space="preserve">3.11 Digital Recruitment</w:t>
      </w:r>
    </w:p>
    <w:p>
      <w:pPr>
        <w:pStyle w:val="ListParagraph"/>
        <w:numPr>
          <w:ilvl w:val="0"/>
          <w:numId w:val="2"/>
        </w:numPr>
      </w:pPr>
      <w:r>
        <w:rPr>
          <w:rFonts w:ascii="Arial" w:cs="Arial" w:eastAsia="Arial" w:hAnsi="Arial"/>
          <w:color w:val="3A4A5A"/>
          <w:sz w:val="22"/>
          <w:szCs w:val="22"/>
        </w:rPr>
        <w:t xml:space="preserve">The company may use LinkedIn, job portals, and applicant tracking systems (ATS) in recruitment.</w:t>
      </w:r>
    </w:p>
    <w:p>
      <w:pPr>
        <w:pStyle w:val="ListParagraph"/>
        <w:numPr>
          <w:ilvl w:val="0"/>
          <w:numId w:val="2"/>
        </w:numPr>
      </w:pPr>
      <w:r>
        <w:rPr>
          <w:rFonts w:ascii="Arial" w:cs="Arial" w:eastAsia="Arial" w:hAnsi="Arial"/>
          <w:color w:val="3A4A5A"/>
          <w:sz w:val="22"/>
          <w:szCs w:val="22"/>
        </w:rPr>
        <w:t xml:space="preserve">All digital platforms must comply with POPIA in handling candidate data.</w:t>
      </w:r>
    </w:p>
    <w:p>
      <w:pPr>
        <w:pStyle w:val="ListParagraph"/>
        <w:numPr>
          <w:ilvl w:val="0"/>
          <w:numId w:val="2"/>
        </w:numPr>
      </w:pPr>
      <w:r>
        <w:rPr>
          <w:rFonts w:ascii="Arial" w:cs="Arial" w:eastAsia="Arial" w:hAnsi="Arial"/>
          <w:color w:val="3A4A5A"/>
          <w:sz w:val="22"/>
          <w:szCs w:val="22"/>
        </w:rPr>
        <w:t xml:space="preserve">Automated screening tools may be used but must not discriminate based on protected grounds.</w:t>
      </w:r>
    </w:p>
    <w:p>
      <w:pPr>
        <w:pStyle w:val="ListParagraph"/>
        <w:numPr>
          <w:ilvl w:val="0"/>
          <w:numId w:val="2"/>
        </w:numPr>
      </w:pPr>
      <w:r>
        <w:rPr>
          <w:rFonts w:ascii="Arial" w:cs="Arial" w:eastAsia="Arial" w:hAnsi="Arial"/>
          <w:color w:val="3A4A5A"/>
          <w:sz w:val="22"/>
          <w:szCs w:val="22"/>
        </w:rPr>
        <w:t xml:space="preserve">Human review of applications will occur before shortlisting decisions.</w:t>
      </w:r>
    </w:p>
    <w:p>
      <w:pPr>
        <w:pStyle w:val="Heading3"/>
      </w:pPr>
      <w:r>
        <w:t xml:space="preserve">3.12 Employment Contract</w:t>
      </w:r>
    </w:p>
    <w:p>
      <w:pPr>
        <w:pStyle w:val="ListParagraph"/>
        <w:numPr>
          <w:ilvl w:val="0"/>
          <w:numId w:val="2"/>
        </w:numPr>
      </w:pPr>
      <w:r>
        <w:rPr>
          <w:rFonts w:ascii="Arial" w:cs="Arial" w:eastAsia="Arial" w:hAnsi="Arial"/>
          <w:color w:val="3A4A5A"/>
          <w:sz w:val="22"/>
          <w:szCs w:val="22"/>
        </w:rPr>
        <w:t xml:space="preserve">All appointed candidates will be provided with a written employment contract before commencing employment.</w:t>
      </w:r>
    </w:p>
    <w:p>
      <w:pPr>
        <w:pStyle w:val="ListParagraph"/>
        <w:numPr>
          <w:ilvl w:val="0"/>
          <w:numId w:val="2"/>
        </w:numPr>
      </w:pPr>
      <w:r>
        <w:rPr>
          <w:rFonts w:ascii="Arial" w:cs="Arial" w:eastAsia="Arial" w:hAnsi="Arial"/>
          <w:color w:val="3A4A5A"/>
          <w:sz w:val="22"/>
          <w:szCs w:val="22"/>
        </w:rPr>
        <w:t xml:space="preserve">The contract must clearly specify terms of employment including role, salary, probation period, and notice periods.</w:t>
      </w:r>
    </w:p>
    <w:p>
      <w:pPr>
        <w:pStyle w:val="ListParagraph"/>
        <w:numPr>
          <w:ilvl w:val="0"/>
          <w:numId w:val="2"/>
        </w:numPr>
      </w:pPr>
      <w:r>
        <w:rPr>
          <w:rFonts w:ascii="Arial" w:cs="Arial" w:eastAsia="Arial" w:hAnsi="Arial"/>
          <w:color w:val="3A4A5A"/>
          <w:sz w:val="22"/>
          <w:szCs w:val="22"/>
        </w:rPr>
        <w:t xml:space="preserve">Contracts for employees under minimum BCEA threshold earning levels will include mandatory minimum entitlements.</w:t>
      </w:r>
    </w:p>
    <w:p>
      <w:pPr>
        <w:pStyle w:val="ListParagraph"/>
        <w:numPr>
          <w:ilvl w:val="0"/>
          <w:numId w:val="2"/>
        </w:numPr>
      </w:pPr>
      <w:r>
        <w:rPr>
          <w:rFonts w:ascii="Arial" w:cs="Arial" w:eastAsia="Arial" w:hAnsi="Arial"/>
          <w:color w:val="3A4A5A"/>
          <w:sz w:val="22"/>
          <w:szCs w:val="22"/>
        </w:rPr>
        <w:t xml:space="preserve">Contracts will be provided in the employee's preferred language where reasonably possible.</w:t>
      </w:r>
    </w:p>
    <w:p>
      <w:pPr>
        <w:pStyle w:val="Heading3"/>
      </w:pPr>
      <w:r>
        <w:t xml:space="preserve">3.13 Minimum Working Age</w:t>
      </w:r>
    </w:p>
    <w:p>
      <w:pPr>
        <w:spacing w:after="60" w:before="60"/>
      </w:pPr>
      <w:r>
        <w:rPr>
          <w:rFonts w:ascii="Arial" w:cs="Arial" w:eastAsia="Arial" w:hAnsi="Arial"/>
          <w:b w:val="false"/>
          <w:bCs w:val="false"/>
          <w:color w:val="3A4A5A"/>
          <w:sz w:val="22"/>
          <w:szCs w:val="22"/>
        </w:rPr>
        <w:t xml:space="preserve">In accordance with the Children's Act 2005:</w:t>
      </w:r>
    </w:p>
    <w:p>
      <w:pPr>
        <w:pStyle w:val="ListParagraph"/>
        <w:numPr>
          <w:ilvl w:val="0"/>
          <w:numId w:val="2"/>
        </w:numPr>
      </w:pPr>
      <w:r>
        <w:rPr>
          <w:rFonts w:ascii="Arial" w:cs="Arial" w:eastAsia="Arial" w:hAnsi="Arial"/>
          <w:color w:val="3A4A5A"/>
          <w:sz w:val="22"/>
          <w:szCs w:val="22"/>
        </w:rPr>
        <w:t xml:space="preserve">The company does not employ children under 15 years of age.</w:t>
      </w:r>
    </w:p>
    <w:p>
      <w:pPr>
        <w:pStyle w:val="ListParagraph"/>
        <w:numPr>
          <w:ilvl w:val="0"/>
          <w:numId w:val="2"/>
        </w:numPr>
      </w:pPr>
      <w:r>
        <w:rPr>
          <w:rFonts w:ascii="Arial" w:cs="Arial" w:eastAsia="Arial" w:hAnsi="Arial"/>
          <w:color w:val="3A4A5A"/>
          <w:sz w:val="22"/>
          <w:szCs w:val="22"/>
        </w:rPr>
        <w:t xml:space="preserve">Employment of persons aged 15-18 in non-hazardous work is permitted with parental/guardian consent.</w:t>
      </w:r>
    </w:p>
    <w:p>
      <w:pPr>
        <w:pStyle w:val="ListParagraph"/>
        <w:numPr>
          <w:ilvl w:val="0"/>
          <w:numId w:val="2"/>
        </w:numPr>
      </w:pPr>
      <w:r>
        <w:rPr>
          <w:rFonts w:ascii="Arial" w:cs="Arial" w:eastAsia="Arial" w:hAnsi="Arial"/>
          <w:color w:val="3A4A5A"/>
          <w:sz w:val="22"/>
          <w:szCs w:val="22"/>
        </w:rPr>
        <w:t xml:space="preserve">No employee under 18 will be employed in hazardous work as defined by the Children's Act.</w:t>
      </w:r>
    </w:p>
    <w:p>
      <w:pPr>
        <w:pStyle w:val="Heading2"/>
      </w:pPr>
      <w:r>
        <w:t xml:space="preserve">4. Responsibilities</w:t>
      </w:r>
    </w:p>
    <w:p>
      <w:pPr>
        <w:pStyle w:val="ListParagraph"/>
        <w:numPr>
          <w:ilvl w:val="0"/>
          <w:numId w:val="2"/>
        </w:numPr>
      </w:pPr>
      <w:r>
        <w:rPr>
          <w:rFonts w:ascii="Arial" w:cs="Arial" w:eastAsia="Arial" w:hAnsi="Arial"/>
          <w:color w:val="3A4A5A"/>
          <w:sz w:val="22"/>
          <w:szCs w:val="22"/>
        </w:rPr>
        <w:t xml:space="preserve">HR Department: coordinate recruitment process, ensure compliance, manage POPIA requirements, and maintain records.</w:t>
      </w:r>
    </w:p>
    <w:p>
      <w:pPr>
        <w:pStyle w:val="ListParagraph"/>
        <w:numPr>
          <w:ilvl w:val="0"/>
          <w:numId w:val="2"/>
        </w:numPr>
      </w:pPr>
      <w:r>
        <w:rPr>
          <w:rFonts w:ascii="Arial" w:cs="Arial" w:eastAsia="Arial" w:hAnsi="Arial"/>
          <w:color w:val="3A4A5A"/>
          <w:sz w:val="22"/>
          <w:szCs w:val="22"/>
        </w:rPr>
        <w:t xml:space="preserve">Hiring Managers: provide accurate job descriptions, participate in interviews, and make selection recommendations.</w:t>
      </w:r>
    </w:p>
    <w:p>
      <w:pPr>
        <w:pStyle w:val="ListParagraph"/>
        <w:numPr>
          <w:ilvl w:val="0"/>
          <w:numId w:val="2"/>
        </w:numPr>
      </w:pPr>
      <w:r>
        <w:rPr>
          <w:rFonts w:ascii="Arial" w:cs="Arial" w:eastAsia="Arial" w:hAnsi="Arial"/>
          <w:color w:val="3A4A5A"/>
          <w:sz w:val="22"/>
          <w:szCs w:val="22"/>
        </w:rPr>
        <w:t xml:space="preserve">Selection Panel: assess candidates fairly and consistently, document decisions, and provide feedback.</w:t>
      </w:r>
    </w:p>
    <w:p>
      <w:pPr>
        <w:pStyle w:val="Heading2"/>
      </w:pPr>
      <w:r>
        <w:t xml:space="preserve">5. Document Retention</w:t>
      </w:r>
    </w:p>
    <w:p>
      <w:pPr>
        <w:spacing w:after="60" w:before="60"/>
      </w:pPr>
      <w:r>
        <w:rPr>
          <w:rFonts w:ascii="Arial" w:cs="Arial" w:eastAsia="Arial" w:hAnsi="Arial"/>
          <w:b w:val="false"/>
          <w:bCs w:val="false"/>
          <w:color w:val="3A4A5A"/>
          <w:sz w:val="22"/>
          <w:szCs w:val="22"/>
        </w:rPr>
        <w:t xml:space="preserve">All recruitment records (application forms, interview notes, assessment results, references) will be retained for a minimum of 2 years from date of appointment or rejection.</w:t>
      </w:r>
    </w:p>
    <w:p>
      <w:pPr>
        <w:pStyle w:val="Heading2"/>
      </w:pPr>
      <w:r>
        <w:t xml:space="preserve">6. Effective Date</w:t>
      </w:r>
    </w:p>
    <w:p>
      <w:pPr>
        <w:spacing w:after="60" w:before="60"/>
      </w:pPr>
      <w:r>
        <w:rPr>
          <w:rFonts w:ascii="Arial" w:cs="Arial" w:eastAsia="Arial" w:hAnsi="Arial"/>
          <w:b w:val="false"/>
          <w:bCs w:val="false"/>
          <w:color w:val="3A4A5A"/>
          <w:sz w:val="22"/>
          <w:szCs w:val="22"/>
        </w:rPr>
        <w:t xml:space="preserve">This policy is effective from 1 April 2026 and applies to all recruitment activities from that date forward.</w:t>
      </w:r>
    </w:p>
    <w:p>
      <w:pPr>
        <w:pStyle w:val="Heading2"/>
      </w:pPr>
      <w:r>
        <w:t xml:space="preserve">7. References</w:t>
      </w:r>
    </w:p>
    <w:p>
      <w:pPr>
        <w:pStyle w:val="ListParagraph"/>
        <w:numPr>
          <w:ilvl w:val="0"/>
          <w:numId w:val="2"/>
        </w:numPr>
      </w:pPr>
      <w:r>
        <w:rPr>
          <w:rFonts w:ascii="Arial" w:cs="Arial" w:eastAsia="Arial" w:hAnsi="Arial"/>
          <w:color w:val="3A4A5A"/>
          <w:sz w:val="22"/>
          <w:szCs w:val="22"/>
        </w:rPr>
        <w:t xml:space="preserve">Employment Equity Act, 1998 (as amended 2020)</w:t>
      </w:r>
    </w:p>
    <w:p>
      <w:pPr>
        <w:pStyle w:val="ListParagraph"/>
        <w:numPr>
          <w:ilvl w:val="0"/>
          <w:numId w:val="2"/>
        </w:numPr>
      </w:pPr>
      <w:r>
        <w:rPr>
          <w:rFonts w:ascii="Arial" w:cs="Arial" w:eastAsia="Arial" w:hAnsi="Arial"/>
          <w:color w:val="3A4A5A"/>
          <w:sz w:val="22"/>
          <w:szCs w:val="22"/>
        </w:rPr>
        <w:t xml:space="preserve">Basic Conditions of Employment Act, 1997</w:t>
      </w:r>
    </w:p>
    <w:p>
      <w:pPr>
        <w:pStyle w:val="ListParagraph"/>
        <w:numPr>
          <w:ilvl w:val="0"/>
          <w:numId w:val="2"/>
        </w:numPr>
      </w:pPr>
      <w:r>
        <w:rPr>
          <w:rFonts w:ascii="Arial" w:cs="Arial" w:eastAsia="Arial" w:hAnsi="Arial"/>
          <w:color w:val="3A4A5A"/>
          <w:sz w:val="22"/>
          <w:szCs w:val="22"/>
        </w:rPr>
        <w:t xml:space="preserve">Protection of Personal Information Act, 2013 (POPIA)</w:t>
      </w:r>
    </w:p>
    <w:p>
      <w:pPr>
        <w:pStyle w:val="ListParagraph"/>
        <w:numPr>
          <w:ilvl w:val="0"/>
          <w:numId w:val="2"/>
        </w:numPr>
      </w:pPr>
      <w:r>
        <w:rPr>
          <w:rFonts w:ascii="Arial" w:cs="Arial" w:eastAsia="Arial" w:hAnsi="Arial"/>
          <w:color w:val="3A4A5A"/>
          <w:sz w:val="22"/>
          <w:szCs w:val="22"/>
        </w:rPr>
        <w:t xml:space="preserve">Children's Act, 2005</w:t>
      </w:r>
    </w:p>
    <w:p>
      <w:pPr>
        <w:pStyle w:val="ListParagraph"/>
        <w:numPr>
          <w:ilvl w:val="0"/>
          <w:numId w:val="2"/>
        </w:numPr>
      </w:pPr>
      <w:r>
        <w:rPr>
          <w:rFonts w:ascii="Arial" w:cs="Arial" w:eastAsia="Arial" w:hAnsi="Arial"/>
          <w:color w:val="3A4A5A"/>
          <w:sz w:val="22"/>
          <w:szCs w:val="22"/>
        </w:rPr>
        <w:t xml:space="preserve">Labour Relations Act, 1995</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31B6D8-BD43-4BB6-8EBE-B63913169651}"/>
</file>

<file path=customXml/itemProps2.xml><?xml version="1.0" encoding="utf-8"?>
<ds:datastoreItem xmlns:ds="http://schemas.openxmlformats.org/officeDocument/2006/customXml" ds:itemID="{380D8AFE-7C23-4DA4-AE32-48E80D4665D5}"/>
</file>

<file path=customXml/itemProps3.xml><?xml version="1.0" encoding="utf-8"?>
<ds:datastoreItem xmlns:ds="http://schemas.openxmlformats.org/officeDocument/2006/customXml" ds:itemID="{F89D4BCC-D9B8-487D-A414-5C999ECC9F1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2026-04-13T13:53:19Z</dcterms:created>
  <dcterms:modified xsi:type="dcterms:W3CDTF">2026-04-13T13:53:19Z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