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  |  April 2026  |  Prepared by Jera Consulting (Pty) Ltd</w:t>
      </w:r>
      <w:r>
        <w:rPr>
          <w:rFonts w:ascii="Arial" w:cs="Arial" w:eastAsia="Arial" w:hAnsi="Arial"/>
          <w:b/>
          <w:bCs/>
          <w:color w:val="1B6FFF"/>
          <w:sz w:val="17"/>
          <w:szCs w:val="17"/>
        </w:rPr>
        <w:t xml:space="preserve">	JERA-POL-HR007</w:t>
      </w:r>
    </w:p>
    <w:p>
      <w:pPr>
        <w:pStyle w:val="Heading1"/>
      </w:pPr>
      <w:r>
        <w:t xml:space="preserve">IT Equipment Allowance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To establish a fair and transparent policy regarding the provision of IT equipment and technology allowances to employees who require computing devices for the effective performance of their duties, and to clarify conditions, tax implications, security requirements, and maintenance responsibilities.</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employees of Jera Consulting (Pty) Ltd whose roles require IT equipment for work performance, including remote workers, office-based staff, and hybrid workers. It covers laptops, smartphones, tablet devices, home office equipment, and related technology allowances.</w:t>
      </w:r>
    </w:p>
    <w:p>
      <w:pPr>
        <w:pStyle w:val="Heading2"/>
      </w:pPr>
      <w:r>
        <w:t xml:space="preserve">3. Policy</w:t>
      </w:r>
    </w:p>
    <w:p>
      <w:pPr>
        <w:pStyle w:val="Heading3"/>
      </w:pPr>
      <w:r>
        <w:t xml:space="preserve">3.1 Qualifying Criteria</w:t>
      </w:r>
    </w:p>
    <w:p>
      <w:pPr>
        <w:spacing w:after="60" w:before="60"/>
      </w:pPr>
      <w:r>
        <w:rPr>
          <w:rFonts w:ascii="Arial" w:cs="Arial" w:eastAsia="Arial" w:hAnsi="Arial"/>
          <w:b w:val="false"/>
          <w:bCs w:val="false"/>
          <w:color w:val="3A4A5A"/>
          <w:sz w:val="22"/>
          <w:szCs w:val="22"/>
        </w:rPr>
        <w:t xml:space="preserve">An employee qualifies for an IT equipment allowance if:</w:t>
      </w:r>
    </w:p>
    <w:p>
      <w:pPr>
        <w:pStyle w:val="ListParagraph"/>
        <w:numPr>
          <w:ilvl w:val="0"/>
          <w:numId w:val="2"/>
        </w:numPr>
      </w:pPr>
      <w:r>
        <w:rPr>
          <w:rFonts w:ascii="Arial" w:cs="Arial" w:eastAsia="Arial" w:hAnsi="Arial"/>
          <w:color w:val="3A4A5A"/>
          <w:sz w:val="22"/>
          <w:szCs w:val="22"/>
        </w:rPr>
        <w:t xml:space="preserve">Their role requires regular computer/device use for job performance.</w:t>
      </w:r>
    </w:p>
    <w:p>
      <w:pPr>
        <w:pStyle w:val="ListParagraph"/>
        <w:numPr>
          <w:ilvl w:val="0"/>
          <w:numId w:val="2"/>
        </w:numPr>
      </w:pPr>
      <w:r>
        <w:rPr>
          <w:rFonts w:ascii="Arial" w:cs="Arial" w:eastAsia="Arial" w:hAnsi="Arial"/>
          <w:color w:val="3A4A5A"/>
          <w:sz w:val="22"/>
          <w:szCs w:val="22"/>
        </w:rPr>
        <w:t xml:space="preserve">They are employed on a permanent or fixed-term contract of 12 months or longer.</w:t>
      </w:r>
    </w:p>
    <w:p>
      <w:pPr>
        <w:pStyle w:val="ListParagraph"/>
        <w:numPr>
          <w:ilvl w:val="0"/>
          <w:numId w:val="2"/>
        </w:numPr>
      </w:pPr>
      <w:r>
        <w:rPr>
          <w:rFonts w:ascii="Arial" w:cs="Arial" w:eastAsia="Arial" w:hAnsi="Arial"/>
          <w:color w:val="3A4A5A"/>
          <w:sz w:val="22"/>
          <w:szCs w:val="22"/>
        </w:rPr>
        <w:t xml:space="preserve">They work in a role approved by management for IT allowance provision.</w:t>
      </w:r>
    </w:p>
    <w:p>
      <w:pPr>
        <w:pStyle w:val="ListParagraph"/>
        <w:numPr>
          <w:ilvl w:val="0"/>
          <w:numId w:val="2"/>
        </w:numPr>
      </w:pPr>
      <w:r>
        <w:rPr>
          <w:rFonts w:ascii="Arial" w:cs="Arial" w:eastAsia="Arial" w:hAnsi="Arial"/>
          <w:color w:val="3A4A5A"/>
          <w:sz w:val="22"/>
          <w:szCs w:val="22"/>
        </w:rPr>
        <w:t xml:space="preserve">They have completed probation period (if applicable).</w:t>
      </w:r>
    </w:p>
    <w:p>
      <w:pPr>
        <w:spacing w:after="60" w:before="60"/>
      </w:pPr>
      <w:r>
        <w:rPr>
          <w:rFonts w:ascii="Arial" w:cs="Arial" w:eastAsia="Arial" w:hAnsi="Arial"/>
          <w:b w:val="false"/>
          <w:bCs w:val="false"/>
          <w:color w:val="3A4A5A"/>
          <w:sz w:val="22"/>
          <w:szCs w:val="22"/>
        </w:rPr>
        <w:t xml:space="preserve">Temporary or contract workers may receive equipment on a case-by-case basis as approved by management.</w:t>
      </w:r>
    </w:p>
    <w:p>
      <w:pPr>
        <w:pStyle w:val="Heading3"/>
      </w:pPr>
      <w:r>
        <w:t xml:space="preserve">3.2 Equipment and Allowance Amounts</w:t>
      </w:r>
    </w:p>
    <w:p>
      <w:pPr>
        <w:spacing w:after="60" w:before="60"/>
      </w:pPr>
      <w:r>
        <w:rPr>
          <w:rFonts w:ascii="Arial" w:cs="Arial" w:eastAsia="Arial" w:hAnsi="Arial"/>
          <w:b w:val="false"/>
          <w:bCs w:val="false"/>
          <w:color w:val="3A4A5A"/>
          <w:sz w:val="22"/>
          <w:szCs w:val="22"/>
        </w:rPr>
        <w:t xml:space="preserve">The following equipment allowances may be provided (2026 rates):</w:t>
      </w:r>
    </w:p>
    <w:p>
      <w:pPr>
        <w:pStyle w:val="ListParagraph"/>
        <w:numPr>
          <w:ilvl w:val="0"/>
          <w:numId w:val="2"/>
        </w:numPr>
      </w:pPr>
      <w:r>
        <w:rPr>
          <w:rFonts w:ascii="Arial" w:cs="Arial" w:eastAsia="Arial" w:hAnsi="Arial"/>
          <w:color w:val="3A4A5A"/>
          <w:sz w:val="22"/>
          <w:szCs w:val="22"/>
        </w:rPr>
        <w:t xml:space="preserve">Laptop computer: R15,000 - R25,000 depending on job level and role requirements (typically R18,000).</w:t>
      </w:r>
    </w:p>
    <w:p>
      <w:pPr>
        <w:pStyle w:val="ListParagraph"/>
        <w:numPr>
          <w:ilvl w:val="0"/>
          <w:numId w:val="2"/>
        </w:numPr>
      </w:pPr>
      <w:r>
        <w:rPr>
          <w:rFonts w:ascii="Arial" w:cs="Arial" w:eastAsia="Arial" w:hAnsi="Arial"/>
          <w:color w:val="3A4A5A"/>
          <w:sz w:val="22"/>
          <w:szCs w:val="22"/>
        </w:rPr>
        <w:t xml:space="preserve">Smartphone: R8,000 - R12,000 for roles requiring mobile connectivity (typically R10,000).</w:t>
      </w:r>
    </w:p>
    <w:p>
      <w:pPr>
        <w:pStyle w:val="ListParagraph"/>
        <w:numPr>
          <w:ilvl w:val="0"/>
          <w:numId w:val="2"/>
        </w:numPr>
      </w:pPr>
      <w:r>
        <w:rPr>
          <w:rFonts w:ascii="Arial" w:cs="Arial" w:eastAsia="Arial" w:hAnsi="Arial"/>
          <w:color w:val="3A4A5A"/>
          <w:sz w:val="22"/>
          <w:szCs w:val="22"/>
        </w:rPr>
        <w:t xml:space="preserve">Monitor/peripherals (when home office required): R4,000 - R6,000.</w:t>
      </w:r>
    </w:p>
    <w:p>
      <w:pPr>
        <w:pStyle w:val="ListParagraph"/>
        <w:numPr>
          <w:ilvl w:val="0"/>
          <w:numId w:val="2"/>
        </w:numPr>
      </w:pPr>
      <w:r>
        <w:rPr>
          <w:rFonts w:ascii="Arial" w:cs="Arial" w:eastAsia="Arial" w:hAnsi="Arial"/>
          <w:color w:val="3A4A5A"/>
          <w:sz w:val="22"/>
          <w:szCs w:val="22"/>
        </w:rPr>
        <w:t xml:space="preserve">Home office furniture allowance (one-time): R5,000 - R8,000 for permanent remote workers.</w:t>
      </w:r>
    </w:p>
    <w:p>
      <w:pPr>
        <w:spacing w:after="60" w:before="60"/>
      </w:pPr>
      <w:r>
        <w:rPr>
          <w:rFonts w:ascii="Arial" w:cs="Arial" w:eastAsia="Arial" w:hAnsi="Arial"/>
          <w:b w:val="false"/>
          <w:bCs w:val="false"/>
          <w:color w:val="3A4A5A"/>
          <w:sz w:val="22"/>
          <w:szCs w:val="22"/>
        </w:rPr>
        <w:t xml:space="preserve">Allowances are reviewed annually and adjusted for inflation where applicable.</w:t>
      </w:r>
    </w:p>
    <w:p>
      <w:pPr>
        <w:pStyle w:val="Heading3"/>
      </w:pPr>
      <w:r>
        <w:t xml:space="preserve">3.3 SARS Tax Implications - Section 8(1)(a) Allowances</w:t>
      </w:r>
    </w:p>
    <w:p>
      <w:pPr>
        <w:spacing w:after="60" w:before="60"/>
      </w:pPr>
      <w:r>
        <w:rPr>
          <w:rFonts w:ascii="Arial" w:cs="Arial" w:eastAsia="Arial" w:hAnsi="Arial"/>
          <w:b w:val="false"/>
          <w:bCs w:val="false"/>
          <w:color w:val="3A4A5A"/>
          <w:sz w:val="22"/>
          <w:szCs w:val="22"/>
        </w:rPr>
        <w:t xml:space="preserve">In accordance with SARS Section 8(1)(a) of the Income Tax Act:</w:t>
      </w:r>
    </w:p>
    <w:p>
      <w:pPr>
        <w:pStyle w:val="ListParagraph"/>
        <w:numPr>
          <w:ilvl w:val="0"/>
          <w:numId w:val="2"/>
        </w:numPr>
      </w:pPr>
      <w:r>
        <w:rPr>
          <w:rFonts w:ascii="Arial" w:cs="Arial" w:eastAsia="Arial" w:hAnsi="Arial"/>
          <w:color w:val="3A4A5A"/>
          <w:sz w:val="22"/>
          <w:szCs w:val="22"/>
        </w:rPr>
        <w:t xml:space="preserve">IT equipment allowances may be provided tax-free if they constitute a genuine allowance for tools of trade used exclusively for business purposes.</w:t>
      </w:r>
    </w:p>
    <w:p>
      <w:pPr>
        <w:pStyle w:val="ListParagraph"/>
        <w:numPr>
          <w:ilvl w:val="0"/>
          <w:numId w:val="2"/>
        </w:numPr>
      </w:pPr>
      <w:r>
        <w:rPr>
          <w:rFonts w:ascii="Arial" w:cs="Arial" w:eastAsia="Arial" w:hAnsi="Arial"/>
          <w:color w:val="3A4A5A"/>
          <w:sz w:val="22"/>
          <w:szCs w:val="22"/>
        </w:rPr>
        <w:t xml:space="preserve">Company-issued equipment remains the property of the company and does not create a taxable allowance.</w:t>
      </w:r>
    </w:p>
    <w:p>
      <w:pPr>
        <w:pStyle w:val="ListParagraph"/>
        <w:numPr>
          <w:ilvl w:val="0"/>
          <w:numId w:val="2"/>
        </w:numPr>
      </w:pPr>
      <w:r>
        <w:rPr>
          <w:rFonts w:ascii="Arial" w:cs="Arial" w:eastAsia="Arial" w:hAnsi="Arial"/>
          <w:color w:val="3A4A5A"/>
          <w:sz w:val="22"/>
          <w:szCs w:val="22"/>
        </w:rPr>
        <w:t xml:space="preserve">If an employee receives a cash allowance in lieu of equipment, SARS may deem this as income subject to tax.</w:t>
      </w:r>
    </w:p>
    <w:p>
      <w:pPr>
        <w:pStyle w:val="ListParagraph"/>
        <w:numPr>
          <w:ilvl w:val="0"/>
          <w:numId w:val="2"/>
        </w:numPr>
      </w:pPr>
      <w:r>
        <w:rPr>
          <w:rFonts w:ascii="Arial" w:cs="Arial" w:eastAsia="Arial" w:hAnsi="Arial"/>
          <w:color w:val="3A4A5A"/>
          <w:sz w:val="22"/>
          <w:szCs w:val="22"/>
        </w:rPr>
        <w:t xml:space="preserve">The company will advise employees of tax implications during the allowance negotiation process.</w:t>
      </w:r>
    </w:p>
    <w:p>
      <w:pPr>
        <w:pStyle w:val="ListParagraph"/>
        <w:numPr>
          <w:ilvl w:val="0"/>
          <w:numId w:val="2"/>
        </w:numPr>
      </w:pPr>
      <w:r>
        <w:rPr>
          <w:rFonts w:ascii="Arial" w:cs="Arial" w:eastAsia="Arial" w:hAnsi="Arial"/>
          <w:color w:val="3A4A5A"/>
          <w:sz w:val="22"/>
          <w:szCs w:val="22"/>
        </w:rPr>
        <w:t xml:space="preserve">Employees receiving equipment allowances should consult their tax advisor regarding personal tax implications.</w:t>
      </w:r>
    </w:p>
    <w:p>
      <w:pPr>
        <w:pStyle w:val="Heading3"/>
      </w:pPr>
      <w:r>
        <w:t xml:space="preserve">3.4 Company Specifications and Standards</w:t>
      </w:r>
    </w:p>
    <w:p>
      <w:pPr>
        <w:spacing w:after="60" w:before="60"/>
      </w:pPr>
      <w:r>
        <w:rPr>
          <w:rFonts w:ascii="Arial" w:cs="Arial" w:eastAsia="Arial" w:hAnsi="Arial"/>
          <w:b w:val="false"/>
          <w:bCs w:val="false"/>
          <w:color w:val="3A4A5A"/>
          <w:sz w:val="22"/>
          <w:szCs w:val="22"/>
        </w:rPr>
        <w:t xml:space="preserve">Where the company provides equipment:</w:t>
      </w:r>
    </w:p>
    <w:p>
      <w:pPr>
        <w:pStyle w:val="ListParagraph"/>
        <w:numPr>
          <w:ilvl w:val="0"/>
          <w:numId w:val="2"/>
        </w:numPr>
      </w:pPr>
      <w:r>
        <w:rPr>
          <w:rFonts w:ascii="Arial" w:cs="Arial" w:eastAsia="Arial" w:hAnsi="Arial"/>
          <w:color w:val="3A4A5A"/>
          <w:sz w:val="22"/>
          <w:szCs w:val="22"/>
        </w:rPr>
        <w:t xml:space="preserve">Equipment must meet company IT security and operational standards.</w:t>
      </w:r>
    </w:p>
    <w:p>
      <w:pPr>
        <w:pStyle w:val="ListParagraph"/>
        <w:numPr>
          <w:ilvl w:val="0"/>
          <w:numId w:val="2"/>
        </w:numPr>
      </w:pPr>
      <w:r>
        <w:rPr>
          <w:rFonts w:ascii="Arial" w:cs="Arial" w:eastAsia="Arial" w:hAnsi="Arial"/>
          <w:color w:val="3A4A5A"/>
          <w:sz w:val="22"/>
          <w:szCs w:val="22"/>
        </w:rPr>
        <w:t xml:space="preserve">Approved device models and brands are specified by the IT Department.</w:t>
      </w:r>
    </w:p>
    <w:p>
      <w:pPr>
        <w:pStyle w:val="ListParagraph"/>
        <w:numPr>
          <w:ilvl w:val="0"/>
          <w:numId w:val="2"/>
        </w:numPr>
      </w:pPr>
      <w:r>
        <w:rPr>
          <w:rFonts w:ascii="Arial" w:cs="Arial" w:eastAsia="Arial" w:hAnsi="Arial"/>
          <w:color w:val="3A4A5A"/>
          <w:sz w:val="22"/>
          <w:szCs w:val="22"/>
        </w:rPr>
        <w:t xml:space="preserve">Equipment will be configured with mandatory security software, firewalls, and encryption.</w:t>
      </w:r>
    </w:p>
    <w:p>
      <w:pPr>
        <w:pStyle w:val="ListParagraph"/>
        <w:numPr>
          <w:ilvl w:val="0"/>
          <w:numId w:val="2"/>
        </w:numPr>
      </w:pPr>
      <w:r>
        <w:rPr>
          <w:rFonts w:ascii="Arial" w:cs="Arial" w:eastAsia="Arial" w:hAnsi="Arial"/>
          <w:color w:val="3A4A5A"/>
          <w:sz w:val="22"/>
          <w:szCs w:val="22"/>
        </w:rPr>
        <w:t xml:space="preserve">Remote access tools and VPN software will be installed and required for all remote work.</w:t>
      </w:r>
    </w:p>
    <w:p>
      <w:pPr>
        <w:pStyle w:val="ListParagraph"/>
        <w:numPr>
          <w:ilvl w:val="0"/>
          <w:numId w:val="2"/>
        </w:numPr>
      </w:pPr>
      <w:r>
        <w:rPr>
          <w:rFonts w:ascii="Arial" w:cs="Arial" w:eastAsia="Arial" w:hAnsi="Arial"/>
          <w:color w:val="3A4A5A"/>
          <w:sz w:val="22"/>
          <w:szCs w:val="22"/>
        </w:rPr>
        <w:t xml:space="preserve">Device asset tags and inventory numbers will be assigned and tracked.</w:t>
      </w:r>
    </w:p>
    <w:p>
      <w:pPr>
        <w:pStyle w:val="Heading3"/>
      </w:pPr>
      <w:r>
        <w:t xml:space="preserve">3.5 BYOD (Bring Your Own Device) vs Company-Issued Equipment</w:t>
      </w:r>
    </w:p>
    <w:p>
      <w:pPr>
        <w:spacing w:after="60" w:before="60"/>
      </w:pPr>
      <w:r>
        <w:rPr>
          <w:rFonts w:ascii="Arial" w:cs="Arial" w:eastAsia="Arial" w:hAnsi="Arial"/>
          <w:b w:val="false"/>
          <w:bCs w:val="false"/>
          <w:color w:val="3A4A5A"/>
          <w:sz w:val="22"/>
          <w:szCs w:val="22"/>
        </w:rPr>
        <w:t xml:space="preserve">Company-Issued Equipment:</w:t>
      </w:r>
    </w:p>
    <w:p>
      <w:pPr>
        <w:pStyle w:val="ListParagraph"/>
        <w:numPr>
          <w:ilvl w:val="0"/>
          <w:numId w:val="2"/>
        </w:numPr>
      </w:pPr>
      <w:r>
        <w:rPr>
          <w:rFonts w:ascii="Arial" w:cs="Arial" w:eastAsia="Arial" w:hAnsi="Arial"/>
          <w:color w:val="3A4A5A"/>
          <w:sz w:val="22"/>
          <w:szCs w:val="22"/>
        </w:rPr>
        <w:t xml:space="preserve">Remains the property of Jera Consulting.</w:t>
      </w:r>
    </w:p>
    <w:p>
      <w:pPr>
        <w:pStyle w:val="ListParagraph"/>
        <w:numPr>
          <w:ilvl w:val="0"/>
          <w:numId w:val="2"/>
        </w:numPr>
      </w:pPr>
      <w:r>
        <w:rPr>
          <w:rFonts w:ascii="Arial" w:cs="Arial" w:eastAsia="Arial" w:hAnsi="Arial"/>
          <w:color w:val="3A4A5A"/>
          <w:sz w:val="22"/>
          <w:szCs w:val="22"/>
        </w:rPr>
        <w:t xml:space="preserve">May be recalled at any time.</w:t>
      </w:r>
    </w:p>
    <w:p>
      <w:pPr>
        <w:pStyle w:val="ListParagraph"/>
        <w:numPr>
          <w:ilvl w:val="0"/>
          <w:numId w:val="2"/>
        </w:numPr>
      </w:pPr>
      <w:r>
        <w:rPr>
          <w:rFonts w:ascii="Arial" w:cs="Arial" w:eastAsia="Arial" w:hAnsi="Arial"/>
          <w:color w:val="3A4A5A"/>
          <w:sz w:val="22"/>
          <w:szCs w:val="22"/>
        </w:rPr>
        <w:t xml:space="preserve">Is subject to IT security controls and monitoring policies.</w:t>
      </w:r>
    </w:p>
    <w:p>
      <w:pPr>
        <w:pStyle w:val="ListParagraph"/>
        <w:numPr>
          <w:ilvl w:val="0"/>
          <w:numId w:val="2"/>
        </w:numPr>
      </w:pPr>
      <w:r>
        <w:rPr>
          <w:rFonts w:ascii="Arial" w:cs="Arial" w:eastAsia="Arial" w:hAnsi="Arial"/>
          <w:color w:val="3A4A5A"/>
          <w:sz w:val="22"/>
          <w:szCs w:val="22"/>
        </w:rPr>
        <w:t xml:space="preserve">Is insured by the company.</w:t>
      </w:r>
    </w:p>
    <w:p>
      <w:pPr>
        <w:spacing w:after="60" w:before="60"/>
      </w:pPr>
      <w:r>
        <w:rPr>
          <w:rFonts w:ascii="Arial" w:cs="Arial" w:eastAsia="Arial" w:hAnsi="Arial"/>
          <w:b w:val="false"/>
          <w:bCs w:val="false"/>
          <w:color w:val="3A4A5A"/>
          <w:sz w:val="22"/>
          <w:szCs w:val="22"/>
        </w:rPr>
        <w:t xml:space="preserve">Bring Your Own Device (BYOD):</w:t>
      </w:r>
    </w:p>
    <w:p>
      <w:pPr>
        <w:pStyle w:val="ListParagraph"/>
        <w:numPr>
          <w:ilvl w:val="0"/>
          <w:numId w:val="2"/>
        </w:numPr>
      </w:pPr>
      <w:r>
        <w:rPr>
          <w:rFonts w:ascii="Arial" w:cs="Arial" w:eastAsia="Arial" w:hAnsi="Arial"/>
          <w:color w:val="3A4A5A"/>
          <w:sz w:val="22"/>
          <w:szCs w:val="22"/>
        </w:rPr>
        <w:t xml:space="preserve">Optional personal device use may be permitted for specific low-risk business applications (e.g., email, calendar, document review).</w:t>
      </w:r>
    </w:p>
    <w:p>
      <w:pPr>
        <w:pStyle w:val="ListParagraph"/>
        <w:numPr>
          <w:ilvl w:val="0"/>
          <w:numId w:val="2"/>
        </w:numPr>
      </w:pPr>
      <w:r>
        <w:rPr>
          <w:rFonts w:ascii="Arial" w:cs="Arial" w:eastAsia="Arial" w:hAnsi="Arial"/>
          <w:color w:val="3A4A5A"/>
          <w:sz w:val="22"/>
          <w:szCs w:val="22"/>
        </w:rPr>
        <w:t xml:space="preserve">BYOD access is at the company's discretion and may be revoked.</w:t>
      </w:r>
    </w:p>
    <w:p>
      <w:pPr>
        <w:pStyle w:val="ListParagraph"/>
        <w:numPr>
          <w:ilvl w:val="0"/>
          <w:numId w:val="2"/>
        </w:numPr>
      </w:pPr>
      <w:r>
        <w:rPr>
          <w:rFonts w:ascii="Arial" w:cs="Arial" w:eastAsia="Arial" w:hAnsi="Arial"/>
          <w:color w:val="3A4A5A"/>
          <w:sz w:val="22"/>
          <w:szCs w:val="22"/>
        </w:rPr>
        <w:t xml:space="preserve">The employee bears the cost of the device and maintenance.</w:t>
      </w:r>
    </w:p>
    <w:p>
      <w:pPr>
        <w:pStyle w:val="ListParagraph"/>
        <w:numPr>
          <w:ilvl w:val="0"/>
          <w:numId w:val="2"/>
        </w:numPr>
      </w:pPr>
      <w:r>
        <w:rPr>
          <w:rFonts w:ascii="Arial" w:cs="Arial" w:eastAsia="Arial" w:hAnsi="Arial"/>
          <w:color w:val="3A4A5A"/>
          <w:sz w:val="22"/>
          <w:szCs w:val="22"/>
        </w:rPr>
        <w:t xml:space="preserve">The company will not be responsible for damage, loss, or malfunction of personal devices.</w:t>
      </w:r>
    </w:p>
    <w:p>
      <w:pPr>
        <w:pStyle w:val="ListParagraph"/>
        <w:numPr>
          <w:ilvl w:val="0"/>
          <w:numId w:val="2"/>
        </w:numPr>
      </w:pPr>
      <w:r>
        <w:rPr>
          <w:rFonts w:ascii="Arial" w:cs="Arial" w:eastAsia="Arial" w:hAnsi="Arial"/>
          <w:color w:val="3A4A5A"/>
          <w:sz w:val="22"/>
          <w:szCs w:val="22"/>
        </w:rPr>
        <w:t xml:space="preserve">Personal devices must meet minimum security standards and have approved MDM (Mobile Device Management) enrollment.</w:t>
      </w:r>
    </w:p>
    <w:p>
      <w:pPr>
        <w:pStyle w:val="ListParagraph"/>
        <w:numPr>
          <w:ilvl w:val="0"/>
          <w:numId w:val="2"/>
        </w:numPr>
      </w:pPr>
      <w:r>
        <w:rPr>
          <w:rFonts w:ascii="Arial" w:cs="Arial" w:eastAsia="Arial" w:hAnsi="Arial"/>
          <w:color w:val="3A4A5A"/>
          <w:sz w:val="22"/>
          <w:szCs w:val="22"/>
        </w:rPr>
        <w:t xml:space="preserve">Employees using personal devices must ensure the device is insured separately.</w:t>
      </w:r>
    </w:p>
    <w:p>
      <w:pPr>
        <w:pStyle w:val="Heading3"/>
      </w:pPr>
      <w:r>
        <w:t xml:space="preserve">3.6 Data Security and POPIA Compliance</w:t>
      </w:r>
    </w:p>
    <w:p>
      <w:pPr>
        <w:spacing w:after="60" w:before="60"/>
      </w:pPr>
      <w:r>
        <w:rPr>
          <w:rFonts w:ascii="Arial" w:cs="Arial" w:eastAsia="Arial" w:hAnsi="Arial"/>
          <w:b w:val="false"/>
          <w:bCs w:val="false"/>
          <w:color w:val="3A4A5A"/>
          <w:sz w:val="22"/>
          <w:szCs w:val="22"/>
        </w:rPr>
        <w:t xml:space="preserve">All IT equipment (company or BYOD) used to access company data must comply with POPIA:</w:t>
      </w:r>
    </w:p>
    <w:p>
      <w:pPr>
        <w:pStyle w:val="ListParagraph"/>
        <w:numPr>
          <w:ilvl w:val="0"/>
          <w:numId w:val="2"/>
        </w:numPr>
      </w:pPr>
      <w:r>
        <w:rPr>
          <w:rFonts w:ascii="Arial" w:cs="Arial" w:eastAsia="Arial" w:hAnsi="Arial"/>
          <w:color w:val="3A4A5A"/>
          <w:sz w:val="22"/>
          <w:szCs w:val="22"/>
        </w:rPr>
        <w:t xml:space="preserve">Devices must have antivirus and anti-malware software installed and regularly updated.</w:t>
      </w:r>
    </w:p>
    <w:p>
      <w:pPr>
        <w:pStyle w:val="ListParagraph"/>
        <w:numPr>
          <w:ilvl w:val="0"/>
          <w:numId w:val="2"/>
        </w:numPr>
      </w:pPr>
      <w:r>
        <w:rPr>
          <w:rFonts w:ascii="Arial" w:cs="Arial" w:eastAsia="Arial" w:hAnsi="Arial"/>
          <w:color w:val="3A4A5A"/>
          <w:sz w:val="22"/>
          <w:szCs w:val="22"/>
        </w:rPr>
        <w:t xml:space="preserve">Devices must have full-disk encryption or equivalent security controls.</w:t>
      </w:r>
    </w:p>
    <w:p>
      <w:pPr>
        <w:pStyle w:val="ListParagraph"/>
        <w:numPr>
          <w:ilvl w:val="0"/>
          <w:numId w:val="2"/>
        </w:numPr>
      </w:pPr>
      <w:r>
        <w:rPr>
          <w:rFonts w:ascii="Arial" w:cs="Arial" w:eastAsia="Arial" w:hAnsi="Arial"/>
          <w:color w:val="3A4A5A"/>
          <w:sz w:val="22"/>
          <w:szCs w:val="22"/>
        </w:rPr>
        <w:t xml:space="preserve">Passwords/biometric authentication must be required to access the device.</w:t>
      </w:r>
    </w:p>
    <w:p>
      <w:pPr>
        <w:pStyle w:val="ListParagraph"/>
        <w:numPr>
          <w:ilvl w:val="0"/>
          <w:numId w:val="2"/>
        </w:numPr>
      </w:pPr>
      <w:r>
        <w:rPr>
          <w:rFonts w:ascii="Arial" w:cs="Arial" w:eastAsia="Arial" w:hAnsi="Arial"/>
          <w:color w:val="3A4A5A"/>
          <w:sz w:val="22"/>
          <w:szCs w:val="22"/>
        </w:rPr>
        <w:t xml:space="preserve">Company data must not be stored permanently on personal devices; cloud storage is preferred.</w:t>
      </w:r>
    </w:p>
    <w:p>
      <w:pPr>
        <w:pStyle w:val="ListParagraph"/>
        <w:numPr>
          <w:ilvl w:val="0"/>
          <w:numId w:val="2"/>
        </w:numPr>
      </w:pPr>
      <w:r>
        <w:rPr>
          <w:rFonts w:ascii="Arial" w:cs="Arial" w:eastAsia="Arial" w:hAnsi="Arial"/>
          <w:color w:val="3A4A5A"/>
          <w:sz w:val="22"/>
          <w:szCs w:val="22"/>
        </w:rPr>
        <w:t xml:space="preserve">Employees must ensure prompt patching of security vulnerabilities and OS updates.</w:t>
      </w:r>
    </w:p>
    <w:p>
      <w:pPr>
        <w:pStyle w:val="ListParagraph"/>
        <w:numPr>
          <w:ilvl w:val="0"/>
          <w:numId w:val="2"/>
        </w:numPr>
      </w:pPr>
      <w:r>
        <w:rPr>
          <w:rFonts w:ascii="Arial" w:cs="Arial" w:eastAsia="Arial" w:hAnsi="Arial"/>
          <w:color w:val="3A4A5A"/>
          <w:sz w:val="22"/>
          <w:szCs w:val="22"/>
        </w:rPr>
        <w:t xml:space="preserve">Remote work devices must connect via company VPN for accessing sensitive systems.</w:t>
      </w:r>
    </w:p>
    <w:p>
      <w:pPr>
        <w:pStyle w:val="ListParagraph"/>
        <w:numPr>
          <w:ilvl w:val="0"/>
          <w:numId w:val="2"/>
        </w:numPr>
      </w:pPr>
      <w:r>
        <w:rPr>
          <w:rFonts w:ascii="Arial" w:cs="Arial" w:eastAsia="Arial" w:hAnsi="Arial"/>
          <w:color w:val="3A4A5A"/>
          <w:sz w:val="22"/>
          <w:szCs w:val="22"/>
        </w:rPr>
        <w:t xml:space="preserve">Devices found non-compliant with security requirements will have company data access suspended until remedied.</w:t>
      </w:r>
    </w:p>
    <w:p>
      <w:pPr>
        <w:pStyle w:val="Heading3"/>
      </w:pPr>
      <w:r>
        <w:t xml:space="preserve">3.7 Insurance</w:t>
      </w:r>
    </w:p>
    <w:p>
      <w:pPr>
        <w:spacing w:after="60" w:before="60"/>
      </w:pPr>
      <w:r>
        <w:rPr>
          <w:rFonts w:ascii="Arial" w:cs="Arial" w:eastAsia="Arial" w:hAnsi="Arial"/>
          <w:b w:val="false"/>
          <w:bCs w:val="false"/>
          <w:color w:val="3A4A5A"/>
          <w:sz w:val="22"/>
          <w:szCs w:val="22"/>
        </w:rPr>
        <w:t xml:space="preserve">Company-Issued Equipment:</w:t>
      </w:r>
    </w:p>
    <w:p>
      <w:pPr>
        <w:pStyle w:val="ListParagraph"/>
        <w:numPr>
          <w:ilvl w:val="0"/>
          <w:numId w:val="2"/>
        </w:numPr>
      </w:pPr>
      <w:r>
        <w:rPr>
          <w:rFonts w:ascii="Arial" w:cs="Arial" w:eastAsia="Arial" w:hAnsi="Arial"/>
          <w:color w:val="3A4A5A"/>
          <w:sz w:val="22"/>
          <w:szCs w:val="22"/>
        </w:rPr>
        <w:t xml:space="preserve">The company maintains insurance covering accidental damage, theft, and loss of equipment.</w:t>
      </w:r>
    </w:p>
    <w:p>
      <w:pPr>
        <w:pStyle w:val="ListParagraph"/>
        <w:numPr>
          <w:ilvl w:val="0"/>
          <w:numId w:val="2"/>
        </w:numPr>
      </w:pPr>
      <w:r>
        <w:rPr>
          <w:rFonts w:ascii="Arial" w:cs="Arial" w:eastAsia="Arial" w:hAnsi="Arial"/>
          <w:color w:val="3A4A5A"/>
          <w:sz w:val="22"/>
          <w:szCs w:val="22"/>
        </w:rPr>
        <w:t xml:space="preserve">Standard insurance excess is R1,000 per incident.</w:t>
      </w:r>
    </w:p>
    <w:p>
      <w:pPr>
        <w:pStyle w:val="ListParagraph"/>
        <w:numPr>
          <w:ilvl w:val="0"/>
          <w:numId w:val="2"/>
        </w:numPr>
      </w:pPr>
      <w:r>
        <w:rPr>
          <w:rFonts w:ascii="Arial" w:cs="Arial" w:eastAsia="Arial" w:hAnsi="Arial"/>
          <w:color w:val="3A4A5A"/>
          <w:sz w:val="22"/>
          <w:szCs w:val="22"/>
        </w:rPr>
        <w:t xml:space="preserve">Insurance does not cover intentional damage or theft due to employee negligence.</w:t>
      </w:r>
    </w:p>
    <w:p>
      <w:pPr>
        <w:spacing w:after="60" w:before="60"/>
      </w:pPr>
      <w:r>
        <w:rPr>
          <w:rFonts w:ascii="Arial" w:cs="Arial" w:eastAsia="Arial" w:hAnsi="Arial"/>
          <w:b w:val="false"/>
          <w:bCs w:val="false"/>
          <w:color w:val="3A4A5A"/>
          <w:sz w:val="22"/>
          <w:szCs w:val="22"/>
        </w:rPr>
        <w:t xml:space="preserve">Personal Devices (BYOD):</w:t>
      </w:r>
    </w:p>
    <w:p>
      <w:pPr>
        <w:pStyle w:val="ListParagraph"/>
        <w:numPr>
          <w:ilvl w:val="0"/>
          <w:numId w:val="2"/>
        </w:numPr>
      </w:pPr>
      <w:r>
        <w:rPr>
          <w:rFonts w:ascii="Arial" w:cs="Arial" w:eastAsia="Arial" w:hAnsi="Arial"/>
          <w:color w:val="3A4A5A"/>
          <w:sz w:val="22"/>
          <w:szCs w:val="22"/>
        </w:rPr>
        <w:t xml:space="preserve">The employee is responsible for maintaining their own insurance.</w:t>
      </w:r>
    </w:p>
    <w:p>
      <w:pPr>
        <w:pStyle w:val="ListParagraph"/>
        <w:numPr>
          <w:ilvl w:val="0"/>
          <w:numId w:val="2"/>
        </w:numPr>
      </w:pPr>
      <w:r>
        <w:rPr>
          <w:rFonts w:ascii="Arial" w:cs="Arial" w:eastAsia="Arial" w:hAnsi="Arial"/>
          <w:color w:val="3A4A5A"/>
          <w:sz w:val="22"/>
          <w:szCs w:val="22"/>
        </w:rPr>
        <w:t xml:space="preserve">The company will not reimburse for damage, loss, or theft of personal devices.</w:t>
      </w:r>
    </w:p>
    <w:p>
      <w:pPr>
        <w:pStyle w:val="Heading3"/>
      </w:pPr>
      <w:r>
        <w:t xml:space="preserve">3.8 Maintenance and Support</w:t>
      </w:r>
    </w:p>
    <w:p>
      <w:pPr>
        <w:spacing w:after="60" w:before="60"/>
      </w:pPr>
      <w:r>
        <w:rPr>
          <w:rFonts w:ascii="Arial" w:cs="Arial" w:eastAsia="Arial" w:hAnsi="Arial"/>
          <w:b w:val="false"/>
          <w:bCs w:val="false"/>
          <w:color w:val="3A4A5A"/>
          <w:sz w:val="22"/>
          <w:szCs w:val="22"/>
        </w:rPr>
        <w:t xml:space="preserve">Company-Issued Equipment:</w:t>
      </w:r>
    </w:p>
    <w:p>
      <w:pPr>
        <w:pStyle w:val="ListParagraph"/>
        <w:numPr>
          <w:ilvl w:val="0"/>
          <w:numId w:val="2"/>
        </w:numPr>
      </w:pPr>
      <w:r>
        <w:rPr>
          <w:rFonts w:ascii="Arial" w:cs="Arial" w:eastAsia="Arial" w:hAnsi="Arial"/>
          <w:color w:val="3A4A5A"/>
          <w:sz w:val="22"/>
          <w:szCs w:val="22"/>
        </w:rPr>
        <w:t xml:space="preserve">The company provides hardware maintenance and IT support.</w:t>
      </w:r>
    </w:p>
    <w:p>
      <w:pPr>
        <w:pStyle w:val="ListParagraph"/>
        <w:numPr>
          <w:ilvl w:val="0"/>
          <w:numId w:val="2"/>
        </w:numPr>
      </w:pPr>
      <w:r>
        <w:rPr>
          <w:rFonts w:ascii="Arial" w:cs="Arial" w:eastAsia="Arial" w:hAnsi="Arial"/>
          <w:color w:val="3A4A5A"/>
          <w:sz w:val="22"/>
          <w:szCs w:val="22"/>
        </w:rPr>
        <w:t xml:space="preserve">Software updates and security patches will be deployed automatically or as required.</w:t>
      </w:r>
    </w:p>
    <w:p>
      <w:pPr>
        <w:pStyle w:val="ListParagraph"/>
        <w:numPr>
          <w:ilvl w:val="0"/>
          <w:numId w:val="2"/>
        </w:numPr>
      </w:pPr>
      <w:r>
        <w:rPr>
          <w:rFonts w:ascii="Arial" w:cs="Arial" w:eastAsia="Arial" w:hAnsi="Arial"/>
          <w:color w:val="3A4A5A"/>
          <w:sz w:val="22"/>
          <w:szCs w:val="22"/>
        </w:rPr>
        <w:t xml:space="preserve">Repairs or replacement of faulty equipment are handled by the IT Department.</w:t>
      </w:r>
    </w:p>
    <w:p>
      <w:pPr>
        <w:spacing w:after="60" w:before="60"/>
      </w:pPr>
      <w:r>
        <w:rPr>
          <w:rFonts w:ascii="Arial" w:cs="Arial" w:eastAsia="Arial" w:hAnsi="Arial"/>
          <w:b w:val="false"/>
          <w:bCs w:val="false"/>
          <w:color w:val="3A4A5A"/>
          <w:sz w:val="22"/>
          <w:szCs w:val="22"/>
        </w:rPr>
        <w:t xml:space="preserve">Personal Devices (BYOD):</w:t>
      </w:r>
    </w:p>
    <w:p>
      <w:pPr>
        <w:pStyle w:val="ListParagraph"/>
        <w:numPr>
          <w:ilvl w:val="0"/>
          <w:numId w:val="2"/>
        </w:numPr>
      </w:pPr>
      <w:r>
        <w:rPr>
          <w:rFonts w:ascii="Arial" w:cs="Arial" w:eastAsia="Arial" w:hAnsi="Arial"/>
          <w:color w:val="3A4A5A"/>
          <w:sz w:val="22"/>
          <w:szCs w:val="22"/>
        </w:rPr>
        <w:t xml:space="preserve">The employee is responsible for all maintenance and repair costs.</w:t>
      </w:r>
    </w:p>
    <w:p>
      <w:pPr>
        <w:pStyle w:val="ListParagraph"/>
        <w:numPr>
          <w:ilvl w:val="0"/>
          <w:numId w:val="2"/>
        </w:numPr>
      </w:pPr>
      <w:r>
        <w:rPr>
          <w:rFonts w:ascii="Arial" w:cs="Arial" w:eastAsia="Arial" w:hAnsi="Arial"/>
          <w:color w:val="3A4A5A"/>
          <w:sz w:val="22"/>
          <w:szCs w:val="22"/>
        </w:rPr>
        <w:t xml:space="preserve">The company will provide basic IT support only; complex issues may be referred to external support at employee cost.</w:t>
      </w:r>
    </w:p>
    <w:p>
      <w:pPr>
        <w:pStyle w:val="Heading3"/>
      </w:pPr>
      <w:r>
        <w:t xml:space="preserve">3.9 Remote Work Equipment Provisions</w:t>
      </w:r>
    </w:p>
    <w:p>
      <w:pPr>
        <w:spacing w:after="60" w:before="60"/>
      </w:pPr>
      <w:r>
        <w:rPr>
          <w:rFonts w:ascii="Arial" w:cs="Arial" w:eastAsia="Arial" w:hAnsi="Arial"/>
          <w:b w:val="false"/>
          <w:bCs w:val="false"/>
          <w:color w:val="3A4A5A"/>
          <w:sz w:val="22"/>
          <w:szCs w:val="22"/>
        </w:rPr>
        <w:t xml:space="preserve">For employees working from home:</w:t>
      </w:r>
    </w:p>
    <w:p>
      <w:pPr>
        <w:pStyle w:val="ListParagraph"/>
        <w:numPr>
          <w:ilvl w:val="0"/>
          <w:numId w:val="2"/>
        </w:numPr>
      </w:pPr>
      <w:r>
        <w:rPr>
          <w:rFonts w:ascii="Arial" w:cs="Arial" w:eastAsia="Arial" w:hAnsi="Arial"/>
          <w:color w:val="3A4A5A"/>
          <w:sz w:val="22"/>
          <w:szCs w:val="22"/>
        </w:rPr>
        <w:t xml:space="preserve">The company may provide or subsidize ergonomic furniture (desk, chair) to the value specified above.</w:t>
      </w:r>
    </w:p>
    <w:p>
      <w:pPr>
        <w:pStyle w:val="ListParagraph"/>
        <w:numPr>
          <w:ilvl w:val="0"/>
          <w:numId w:val="2"/>
        </w:numPr>
      </w:pPr>
      <w:r>
        <w:rPr>
          <w:rFonts w:ascii="Arial" w:cs="Arial" w:eastAsia="Arial" w:hAnsi="Arial"/>
          <w:color w:val="3A4A5A"/>
          <w:sz w:val="22"/>
          <w:szCs w:val="22"/>
        </w:rPr>
        <w:t xml:space="preserve">Employees must maintain a safe and secure workspace.</w:t>
      </w:r>
    </w:p>
    <w:p>
      <w:pPr>
        <w:pStyle w:val="ListParagraph"/>
        <w:numPr>
          <w:ilvl w:val="0"/>
          <w:numId w:val="2"/>
        </w:numPr>
      </w:pPr>
      <w:r>
        <w:rPr>
          <w:rFonts w:ascii="Arial" w:cs="Arial" w:eastAsia="Arial" w:hAnsi="Arial"/>
          <w:color w:val="3A4A5A"/>
          <w:sz w:val="22"/>
          <w:szCs w:val="22"/>
        </w:rPr>
        <w:t xml:space="preserve">Internet connectivity is the employee's responsibility; the company may provide a stipend for qualifying roles.</w:t>
      </w:r>
    </w:p>
    <w:p>
      <w:pPr>
        <w:pStyle w:val="ListParagraph"/>
        <w:numPr>
          <w:ilvl w:val="0"/>
          <w:numId w:val="2"/>
        </w:numPr>
      </w:pPr>
      <w:r>
        <w:rPr>
          <w:rFonts w:ascii="Arial" w:cs="Arial" w:eastAsia="Arial" w:hAnsi="Arial"/>
          <w:color w:val="3A4A5A"/>
          <w:sz w:val="22"/>
          <w:szCs w:val="22"/>
        </w:rPr>
        <w:t xml:space="preserve">Power backup (UPS) or portable chargers may be provided for critical roles.</w:t>
      </w:r>
    </w:p>
    <w:p>
      <w:pPr>
        <w:pStyle w:val="Heading3"/>
      </w:pPr>
      <w:r>
        <w:t xml:space="preserve">3.10 Return of Equipment on Termination</w:t>
      </w:r>
    </w:p>
    <w:p>
      <w:pPr>
        <w:pStyle w:val="ListParagraph"/>
        <w:numPr>
          <w:ilvl w:val="0"/>
          <w:numId w:val="2"/>
        </w:numPr>
      </w:pPr>
      <w:r>
        <w:rPr>
          <w:rFonts w:ascii="Arial" w:cs="Arial" w:eastAsia="Arial" w:hAnsi="Arial"/>
          <w:color w:val="3A4A5A"/>
          <w:sz w:val="22"/>
          <w:szCs w:val="22"/>
        </w:rPr>
        <w:t xml:space="preserve">All company-issued equipment must be returned in full working condition (normal wear and tear excepted).</w:t>
      </w:r>
    </w:p>
    <w:p>
      <w:pPr>
        <w:pStyle w:val="ListParagraph"/>
        <w:numPr>
          <w:ilvl w:val="0"/>
          <w:numId w:val="2"/>
        </w:numPr>
      </w:pPr>
      <w:r>
        <w:rPr>
          <w:rFonts w:ascii="Arial" w:cs="Arial" w:eastAsia="Arial" w:hAnsi="Arial"/>
          <w:color w:val="3A4A5A"/>
          <w:sz w:val="22"/>
          <w:szCs w:val="22"/>
        </w:rPr>
        <w:t xml:space="preserve">Equipment must be returned on or before the final day of employment.</w:t>
      </w:r>
    </w:p>
    <w:p>
      <w:pPr>
        <w:pStyle w:val="ListParagraph"/>
        <w:numPr>
          <w:ilvl w:val="0"/>
          <w:numId w:val="2"/>
        </w:numPr>
      </w:pPr>
      <w:r>
        <w:rPr>
          <w:rFonts w:ascii="Arial" w:cs="Arial" w:eastAsia="Arial" w:hAnsi="Arial"/>
          <w:color w:val="3A4A5A"/>
          <w:sz w:val="22"/>
          <w:szCs w:val="22"/>
        </w:rPr>
        <w:t xml:space="preserve">Any outstanding costs for unreturned or damaged equipment may be deducted from final salary (in accordance with BCEA provisions).</w:t>
      </w:r>
    </w:p>
    <w:p>
      <w:pPr>
        <w:pStyle w:val="ListParagraph"/>
        <w:numPr>
          <w:ilvl w:val="0"/>
          <w:numId w:val="2"/>
        </w:numPr>
      </w:pPr>
      <w:r>
        <w:rPr>
          <w:rFonts w:ascii="Arial" w:cs="Arial" w:eastAsia="Arial" w:hAnsi="Arial"/>
          <w:color w:val="3A4A5A"/>
          <w:sz w:val="22"/>
          <w:szCs w:val="22"/>
        </w:rPr>
        <w:t xml:space="preserve">Data must be securely wiped from the device before return.</w:t>
      </w:r>
    </w:p>
    <w:p>
      <w:pPr>
        <w:pStyle w:val="ListParagraph"/>
        <w:numPr>
          <w:ilvl w:val="0"/>
          <w:numId w:val="2"/>
        </w:numPr>
      </w:pPr>
      <w:r>
        <w:rPr>
          <w:rFonts w:ascii="Arial" w:cs="Arial" w:eastAsia="Arial" w:hAnsi="Arial"/>
          <w:color w:val="3A4A5A"/>
          <w:sz w:val="22"/>
          <w:szCs w:val="22"/>
        </w:rPr>
        <w:t xml:space="preserve">Remote access credentials must be deactivated immediately upon termination.</w:t>
      </w:r>
    </w:p>
    <w:p>
      <w:pPr>
        <w:pStyle w:val="Heading2"/>
      </w:pPr>
      <w:r>
        <w:t xml:space="preserve">4. Allowance Eligibility and Changes</w:t>
      </w:r>
    </w:p>
    <w:p>
      <w:pPr>
        <w:pStyle w:val="ListParagraph"/>
        <w:numPr>
          <w:ilvl w:val="0"/>
          <w:numId w:val="2"/>
        </w:numPr>
      </w:pPr>
      <w:r>
        <w:rPr>
          <w:rFonts w:ascii="Arial" w:cs="Arial" w:eastAsia="Arial" w:hAnsi="Arial"/>
          <w:color w:val="3A4A5A"/>
          <w:sz w:val="22"/>
          <w:szCs w:val="22"/>
        </w:rPr>
        <w:t xml:space="preserve">New equipment is typically not provided more frequently than every 3-4 years, unless justified by role change or technical obsolescence.</w:t>
      </w:r>
    </w:p>
    <w:p>
      <w:pPr>
        <w:pStyle w:val="ListParagraph"/>
        <w:numPr>
          <w:ilvl w:val="0"/>
          <w:numId w:val="2"/>
        </w:numPr>
      </w:pPr>
      <w:r>
        <w:rPr>
          <w:rFonts w:ascii="Arial" w:cs="Arial" w:eastAsia="Arial" w:hAnsi="Arial"/>
          <w:color w:val="3A4A5A"/>
          <w:sz w:val="22"/>
          <w:szCs w:val="22"/>
        </w:rPr>
        <w:t xml:space="preserve">Employees changing roles may be entitled to different equipment in accordance with their new position.</w:t>
      </w:r>
    </w:p>
    <w:p>
      <w:pPr>
        <w:pStyle w:val="ListParagraph"/>
        <w:numPr>
          <w:ilvl w:val="0"/>
          <w:numId w:val="2"/>
        </w:numPr>
      </w:pPr>
      <w:r>
        <w:rPr>
          <w:rFonts w:ascii="Arial" w:cs="Arial" w:eastAsia="Arial" w:hAnsi="Arial"/>
          <w:color w:val="3A4A5A"/>
          <w:sz w:val="22"/>
          <w:szCs w:val="22"/>
        </w:rPr>
        <w:t xml:space="preserve">Reduction or withdrawal of equipment allowance requires 30 days notice and documented business reason.</w:t>
      </w:r>
    </w:p>
    <w:p>
      <w:pPr>
        <w:pStyle w:val="Heading2"/>
      </w:pPr>
      <w:r>
        <w:t xml:space="preserve">5. Responsibilities</w:t>
      </w:r>
    </w:p>
    <w:p>
      <w:pPr>
        <w:pStyle w:val="ListParagraph"/>
        <w:numPr>
          <w:ilvl w:val="0"/>
          <w:numId w:val="2"/>
        </w:numPr>
      </w:pPr>
      <w:r>
        <w:rPr>
          <w:rFonts w:ascii="Arial" w:cs="Arial" w:eastAsia="Arial" w:hAnsi="Arial"/>
          <w:color w:val="3A4A5A"/>
          <w:sz w:val="22"/>
          <w:szCs w:val="22"/>
        </w:rPr>
        <w:t xml:space="preserve">HR Department: manage allowance policies, approve equipment requests, and track inventory.</w:t>
      </w:r>
    </w:p>
    <w:p>
      <w:pPr>
        <w:pStyle w:val="ListParagraph"/>
        <w:numPr>
          <w:ilvl w:val="0"/>
          <w:numId w:val="2"/>
        </w:numPr>
      </w:pPr>
      <w:r>
        <w:rPr>
          <w:rFonts w:ascii="Arial" w:cs="Arial" w:eastAsia="Arial" w:hAnsi="Arial"/>
          <w:color w:val="3A4A5A"/>
          <w:sz w:val="22"/>
          <w:szCs w:val="22"/>
        </w:rPr>
        <w:t xml:space="preserve">IT Department: specify approved equipment, maintain security standards, and provide technical support.</w:t>
      </w:r>
    </w:p>
    <w:p>
      <w:pPr>
        <w:pStyle w:val="ListParagraph"/>
        <w:numPr>
          <w:ilvl w:val="0"/>
          <w:numId w:val="2"/>
        </w:numPr>
      </w:pPr>
      <w:r>
        <w:rPr>
          <w:rFonts w:ascii="Arial" w:cs="Arial" w:eastAsia="Arial" w:hAnsi="Arial"/>
          <w:color w:val="3A4A5A"/>
          <w:sz w:val="22"/>
          <w:szCs w:val="22"/>
        </w:rPr>
        <w:t xml:space="preserve">Employees: ensure equipment security, report issues promptly, maintain compliance with security policies, and return equipment upon termination.</w:t>
      </w:r>
    </w:p>
    <w:p>
      <w:pPr>
        <w:pStyle w:val="ListParagraph"/>
        <w:numPr>
          <w:ilvl w:val="0"/>
          <w:numId w:val="2"/>
        </w:numPr>
      </w:pPr>
      <w:r>
        <w:rPr>
          <w:rFonts w:ascii="Arial" w:cs="Arial" w:eastAsia="Arial" w:hAnsi="Arial"/>
          <w:color w:val="3A4A5A"/>
          <w:sz w:val="22"/>
          <w:szCs w:val="22"/>
        </w:rPr>
        <w:t xml:space="preserve">Managers: verify employee eligibility and approve equipment requests for their team.</w:t>
      </w:r>
    </w:p>
    <w:p>
      <w:pPr>
        <w:pStyle w:val="Heading2"/>
      </w:pPr>
      <w:r>
        <w:t xml:space="preserve">6. Effective Date</w:t>
      </w:r>
    </w:p>
    <w:p>
      <w:pPr>
        <w:spacing w:after="60" w:before="60"/>
      </w:pPr>
      <w:r>
        <w:rPr>
          <w:rFonts w:ascii="Arial" w:cs="Arial" w:eastAsia="Arial" w:hAnsi="Arial"/>
          <w:b w:val="false"/>
          <w:bCs w:val="false"/>
          <w:color w:val="3A4A5A"/>
          <w:sz w:val="22"/>
          <w:szCs w:val="22"/>
        </w:rPr>
        <w:t xml:space="preserve">This policy is effective from 1 April 2026.</w:t>
      </w:r>
    </w:p>
    <w:p>
      <w:pPr>
        <w:pStyle w:val="Heading2"/>
      </w:pPr>
      <w:r>
        <w:t xml:space="preserve">7. References</w:t>
      </w:r>
    </w:p>
    <w:p>
      <w:pPr>
        <w:pStyle w:val="ListParagraph"/>
        <w:numPr>
          <w:ilvl w:val="0"/>
          <w:numId w:val="2"/>
        </w:numPr>
      </w:pPr>
      <w:r>
        <w:rPr>
          <w:rFonts w:ascii="Arial" w:cs="Arial" w:eastAsia="Arial" w:hAnsi="Arial"/>
          <w:color w:val="3A4A5A"/>
          <w:sz w:val="22"/>
          <w:szCs w:val="22"/>
        </w:rPr>
        <w:t xml:space="preserve">Income Tax Act, 1962 (SARS Section 8(1)(a))</w:t>
      </w:r>
    </w:p>
    <w:p>
      <w:pPr>
        <w:pStyle w:val="ListParagraph"/>
        <w:numPr>
          <w:ilvl w:val="0"/>
          <w:numId w:val="2"/>
        </w:numPr>
      </w:pPr>
      <w:r>
        <w:rPr>
          <w:rFonts w:ascii="Arial" w:cs="Arial" w:eastAsia="Arial" w:hAnsi="Arial"/>
          <w:color w:val="3A4A5A"/>
          <w:sz w:val="22"/>
          <w:szCs w:val="22"/>
        </w:rPr>
        <w:t xml:space="preserve">Protection of Personal Information Act, 2013 (POPIA)</w:t>
      </w:r>
    </w:p>
    <w:p>
      <w:pPr>
        <w:pStyle w:val="ListParagraph"/>
        <w:numPr>
          <w:ilvl w:val="0"/>
          <w:numId w:val="2"/>
        </w:numPr>
      </w:pPr>
      <w:r>
        <w:rPr>
          <w:rFonts w:ascii="Arial" w:cs="Arial" w:eastAsia="Arial" w:hAnsi="Arial"/>
          <w:color w:val="3A4A5A"/>
          <w:sz w:val="22"/>
          <w:szCs w:val="22"/>
        </w:rPr>
        <w:t xml:space="preserve">Basic Conditions of Employment Act, 1997</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93DC52-1F7B-4C52-9747-E2D3B0F9ED22}"/>
</file>

<file path=customXml/itemProps2.xml><?xml version="1.0" encoding="utf-8"?>
<ds:datastoreItem xmlns:ds="http://schemas.openxmlformats.org/officeDocument/2006/customXml" ds:itemID="{66B9E6C1-00D6-4C9F-B47C-AD3D87912A9B}"/>
</file>

<file path=customXml/itemProps3.xml><?xml version="1.0" encoding="utf-8"?>
<ds:datastoreItem xmlns:ds="http://schemas.openxmlformats.org/officeDocument/2006/customXml" ds:itemID="{0AE32956-F031-4534-B909-9499784CD88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2026-04-13T13:53:43Z</dcterms:created>
  <dcterms:modified xsi:type="dcterms:W3CDTF">2026-04-13T13:53:43Z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