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  |  April 2026  |  Prepared by Jera Consulting (Pty) Ltd</w:t>
      </w:r>
      <w:r>
        <w:rPr>
          <w:rFonts w:ascii="Arial" w:cs="Arial" w:eastAsia="Arial" w:hAnsi="Arial"/>
          <w:b/>
          <w:bCs/>
          <w:color w:val="1B6FFF"/>
          <w:sz w:val="17"/>
          <w:szCs w:val="17"/>
        </w:rPr>
        <w:t xml:space="preserve">	JERA-POL-HR010</w:t>
      </w:r>
    </w:p>
    <w:p>
      <w:pPr>
        <w:pStyle w:val="Heading1"/>
      </w:pPr>
      <w:r>
        <w:t xml:space="preserve">Contractor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To establish comprehensive guidelines for the engagement, management, and termination of contractors, independent contractors, and temporary workers at Jera Consulting (Pty) Ltd, while ensuring compliance with South African labour legislation, particularly the Labour Relations Act (LRA) 1995 amendments, tax obligations, and intellectual property protections.</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non-employee workers engaged by Jera Consulting, including: independent contractors providing professional services, fixed-term contract workers, temporary workers provided by labour brokers/Temporary Employment Services (TES), and casual workers. It does not apply to employees on permanent or fixed-term employment contracts.</w:t>
      </w:r>
    </w:p>
    <w:p>
      <w:pPr>
        <w:pStyle w:val="Heading2"/>
      </w:pPr>
      <w:r>
        <w:t xml:space="preserve">3. Policy</w:t>
      </w:r>
    </w:p>
    <w:p>
      <w:pPr>
        <w:pStyle w:val="Heading3"/>
      </w:pPr>
      <w:r>
        <w:t xml:space="preserve">3.1 Types of Contractor Arrangements</w:t>
      </w:r>
    </w:p>
    <w:p>
      <w:pPr>
        <w:pStyle w:val="Heading3"/>
      </w:pPr>
      <w:r>
        <w:t xml:space="preserve">3.1.1 Fixed-Term Contracts</w:t>
      </w:r>
    </w:p>
    <w:p>
      <w:pPr>
        <w:pStyle w:val="ListParagraph"/>
        <w:numPr>
          <w:ilvl w:val="0"/>
          <w:numId w:val="2"/>
        </w:numPr>
      </w:pPr>
      <w:r>
        <w:rPr>
          <w:rFonts w:ascii="Arial" w:cs="Arial" w:eastAsia="Arial" w:hAnsi="Arial"/>
          <w:color w:val="3A4A5A"/>
          <w:sz w:val="22"/>
          <w:szCs w:val="22"/>
        </w:rPr>
        <w:t xml:space="preserve">Fixed-term contracts for a specified period (typically 3-12 months) are appropriate for project work or temporary cover.</w:t>
      </w:r>
    </w:p>
    <w:p>
      <w:pPr>
        <w:pStyle w:val="ListParagraph"/>
        <w:numPr>
          <w:ilvl w:val="0"/>
          <w:numId w:val="2"/>
        </w:numPr>
      </w:pPr>
      <w:r>
        <w:rPr>
          <w:rFonts w:ascii="Arial" w:cs="Arial" w:eastAsia="Arial" w:hAnsi="Arial"/>
          <w:color w:val="3A4A5A"/>
          <w:sz w:val="22"/>
          <w:szCs w:val="22"/>
        </w:rPr>
        <w:t xml:space="preserve">Fixed-term contracts exceeding 3 months for workers earning below the BCEA threshold create an expectation of renewal and may expose the company to claims of unfair dismissal if not renewed.</w:t>
      </w:r>
    </w:p>
    <w:p>
      <w:pPr>
        <w:pStyle w:val="ListParagraph"/>
        <w:numPr>
          <w:ilvl w:val="0"/>
          <w:numId w:val="2"/>
        </w:numPr>
      </w:pPr>
      <w:r>
        <w:rPr>
          <w:rFonts w:ascii="Arial" w:cs="Arial" w:eastAsia="Arial" w:hAnsi="Arial"/>
          <w:color w:val="3A4A5A"/>
          <w:sz w:val="22"/>
          <w:szCs w:val="22"/>
        </w:rPr>
        <w:t xml:space="preserve">Fixed-term contracts must be in writing and clearly specify: commencement date, end date, conditions for renewal, and that employment concludes on the specified end date.</w:t>
      </w:r>
    </w:p>
    <w:p>
      <w:pPr>
        <w:pStyle w:val="ListParagraph"/>
        <w:numPr>
          <w:ilvl w:val="0"/>
          <w:numId w:val="2"/>
        </w:numPr>
      </w:pPr>
      <w:r>
        <w:rPr>
          <w:rFonts w:ascii="Arial" w:cs="Arial" w:eastAsia="Arial" w:hAnsi="Arial"/>
          <w:color w:val="3A4A5A"/>
          <w:sz w:val="22"/>
          <w:szCs w:val="22"/>
        </w:rPr>
        <w:t xml:space="preserve">If a fixed-term contract is renewed or extended beyond the original term, it may lose its fixed-term character and convert to indefinite employment.</w:t>
      </w:r>
    </w:p>
    <w:p>
      <w:pPr>
        <w:pStyle w:val="ListParagraph"/>
        <w:numPr>
          <w:ilvl w:val="0"/>
          <w:numId w:val="2"/>
        </w:numPr>
      </w:pPr>
      <w:r>
        <w:rPr>
          <w:rFonts w:ascii="Arial" w:cs="Arial" w:eastAsia="Arial" w:hAnsi="Arial"/>
          <w:color w:val="3A4A5A"/>
          <w:sz w:val="22"/>
          <w:szCs w:val="22"/>
        </w:rPr>
        <w:t xml:space="preserve">Maximum cumulative fixed-term engagement is typically 24 months for the same role; beyond this period, indefinite employment may be implied.</w:t>
      </w:r>
    </w:p>
    <w:p>
      <w:pPr>
        <w:pStyle w:val="Heading3"/>
      </w:pPr>
      <w:r>
        <w:t xml:space="preserve">3.1.2 Independent Contractors</w:t>
      </w:r>
    </w:p>
    <w:p>
      <w:pPr>
        <w:pStyle w:val="ListParagraph"/>
        <w:numPr>
          <w:ilvl w:val="0"/>
          <w:numId w:val="2"/>
        </w:numPr>
      </w:pPr>
      <w:r>
        <w:rPr>
          <w:rFonts w:ascii="Arial" w:cs="Arial" w:eastAsia="Arial" w:hAnsi="Arial"/>
          <w:color w:val="3A4A5A"/>
          <w:sz w:val="22"/>
          <w:szCs w:val="22"/>
        </w:rPr>
        <w:t xml:space="preserve">Independent contractors are self-employed individuals retained to provide specific services or deliverables.</w:t>
      </w:r>
    </w:p>
    <w:p>
      <w:pPr>
        <w:pStyle w:val="ListParagraph"/>
        <w:numPr>
          <w:ilvl w:val="0"/>
          <w:numId w:val="2"/>
        </w:numPr>
      </w:pPr>
      <w:r>
        <w:rPr>
          <w:rFonts w:ascii="Arial" w:cs="Arial" w:eastAsia="Arial" w:hAnsi="Arial"/>
          <w:color w:val="3A4A5A"/>
          <w:sz w:val="22"/>
          <w:szCs w:val="22"/>
        </w:rPr>
        <w:t xml:space="preserve">The relationship is service-based (not employment-based); the contractor manages their own methods and schedule.</w:t>
      </w:r>
    </w:p>
    <w:p>
      <w:pPr>
        <w:pStyle w:val="ListParagraph"/>
        <w:numPr>
          <w:ilvl w:val="0"/>
          <w:numId w:val="2"/>
        </w:numPr>
      </w:pPr>
      <w:r>
        <w:rPr>
          <w:rFonts w:ascii="Arial" w:cs="Arial" w:eastAsia="Arial" w:hAnsi="Arial"/>
          <w:color w:val="3A4A5A"/>
          <w:sz w:val="22"/>
          <w:szCs w:val="22"/>
        </w:rPr>
        <w:t xml:space="preserve">Independent contractors typically invoice for services and are responsible for their own tax, insurance, and benefits.</w:t>
      </w:r>
    </w:p>
    <w:p>
      <w:pPr>
        <w:pStyle w:val="ListParagraph"/>
        <w:numPr>
          <w:ilvl w:val="0"/>
          <w:numId w:val="2"/>
        </w:numPr>
      </w:pPr>
      <w:r>
        <w:rPr>
          <w:rFonts w:ascii="Arial" w:cs="Arial" w:eastAsia="Arial" w:hAnsi="Arial"/>
          <w:color w:val="3A4A5A"/>
          <w:sz w:val="22"/>
          <w:szCs w:val="22"/>
        </w:rPr>
        <w:t xml:space="preserve">The company has limited control over how the contractor performs work, provided deliverables meet specifications.</w:t>
      </w:r>
    </w:p>
    <w:p>
      <w:pPr>
        <w:pStyle w:val="ListParagraph"/>
        <w:numPr>
          <w:ilvl w:val="0"/>
          <w:numId w:val="2"/>
        </w:numPr>
      </w:pPr>
      <w:r>
        <w:rPr>
          <w:rFonts w:ascii="Arial" w:cs="Arial" w:eastAsia="Arial" w:hAnsi="Arial"/>
          <w:color w:val="3A4A5A"/>
          <w:sz w:val="22"/>
          <w:szCs w:val="22"/>
        </w:rPr>
        <w:t xml:space="preserve">Independent contractors may work for multiple clients and are responsible for managing conflicts.</w:t>
      </w:r>
    </w:p>
    <w:p>
      <w:pPr>
        <w:pStyle w:val="ListParagraph"/>
        <w:numPr>
          <w:ilvl w:val="0"/>
          <w:numId w:val="2"/>
        </w:numPr>
      </w:pPr>
      <w:r>
        <w:rPr>
          <w:rFonts w:ascii="Arial" w:cs="Arial" w:eastAsia="Arial" w:hAnsi="Arial"/>
          <w:color w:val="3A4A5A"/>
          <w:sz w:val="22"/>
          <w:szCs w:val="22"/>
        </w:rPr>
        <w:t xml:space="preserve">No statutory benefits (leave, medical aid, UIF, severance) are provided to independent contractors.</w:t>
      </w:r>
    </w:p>
    <w:p>
      <w:pPr>
        <w:pStyle w:val="Heading3"/>
      </w:pPr>
      <w:r>
        <w:t xml:space="preserve">3.1.3 Temporary Employment Services (TES) and Labour Broker Arrangements</w:t>
      </w:r>
    </w:p>
    <w:p>
      <w:pPr>
        <w:pStyle w:val="ListParagraph"/>
        <w:numPr>
          <w:ilvl w:val="0"/>
          <w:numId w:val="2"/>
        </w:numPr>
      </w:pPr>
      <w:r>
        <w:rPr>
          <w:rFonts w:ascii="Arial" w:cs="Arial" w:eastAsia="Arial" w:hAnsi="Arial"/>
          <w:color w:val="3A4A5A"/>
          <w:sz w:val="22"/>
          <w:szCs w:val="22"/>
        </w:rPr>
        <w:t xml:space="preserve">The company may engage workers through registered labour brokers/TES to meet temporary staffing needs.</w:t>
      </w:r>
    </w:p>
    <w:p>
      <w:pPr>
        <w:pStyle w:val="ListParagraph"/>
        <w:numPr>
          <w:ilvl w:val="0"/>
          <w:numId w:val="2"/>
        </w:numPr>
      </w:pPr>
      <w:r>
        <w:rPr>
          <w:rFonts w:ascii="Arial" w:cs="Arial" w:eastAsia="Arial" w:hAnsi="Arial"/>
          <w:color w:val="3A4A5A"/>
          <w:sz w:val="22"/>
          <w:szCs w:val="22"/>
        </w:rPr>
        <w:t xml:space="preserve">TES workers are employed by the labour broker, not by Jera Consulting, but work under company direction.</w:t>
      </w:r>
    </w:p>
    <w:p>
      <w:pPr>
        <w:pStyle w:val="ListParagraph"/>
        <w:numPr>
          <w:ilvl w:val="0"/>
          <w:numId w:val="2"/>
        </w:numPr>
      </w:pPr>
      <w:r>
        <w:rPr>
          <w:rFonts w:ascii="Arial" w:cs="Arial" w:eastAsia="Arial" w:hAnsi="Arial"/>
          <w:color w:val="3A4A5A"/>
          <w:sz w:val="22"/>
          <w:szCs w:val="22"/>
        </w:rPr>
        <w:t xml:space="preserve">Section 198A of the LRA: employees earning below the BCEA threshold (currently R3,996 per month) employed by TES for exceeding 3 months are deemed employees of the client (Jera Consulting).</w:t>
      </w:r>
    </w:p>
    <w:p>
      <w:pPr>
        <w:pStyle w:val="ListParagraph"/>
        <w:numPr>
          <w:ilvl w:val="0"/>
          <w:numId w:val="2"/>
        </w:numPr>
      </w:pPr>
      <w:r>
        <w:rPr>
          <w:rFonts w:ascii="Arial" w:cs="Arial" w:eastAsia="Arial" w:hAnsi="Arial"/>
          <w:color w:val="3A4A5A"/>
          <w:sz w:val="22"/>
          <w:szCs w:val="22"/>
        </w:rPr>
        <w:t xml:space="preserve">If a TES worker is deemed an employee under s198A, the company becomes liable for all employee statutory obligations.</w:t>
      </w:r>
    </w:p>
    <w:p>
      <w:pPr>
        <w:pStyle w:val="ListParagraph"/>
        <w:numPr>
          <w:ilvl w:val="0"/>
          <w:numId w:val="2"/>
        </w:numPr>
      </w:pPr>
      <w:r>
        <w:rPr>
          <w:rFonts w:ascii="Arial" w:cs="Arial" w:eastAsia="Arial" w:hAnsi="Arial"/>
          <w:color w:val="3A4A5A"/>
          <w:sz w:val="22"/>
          <w:szCs w:val="22"/>
        </w:rPr>
        <w:t xml:space="preserve">To avoid inadvertent employee status, TES engagements below the threshold should not exceed 3 months, or the company must formally accept the worker as an employee.</w:t>
      </w:r>
    </w:p>
    <w:p>
      <w:pPr>
        <w:pStyle w:val="ListParagraph"/>
        <w:numPr>
          <w:ilvl w:val="0"/>
          <w:numId w:val="2"/>
        </w:numPr>
      </w:pPr>
      <w:r>
        <w:rPr>
          <w:rFonts w:ascii="Arial" w:cs="Arial" w:eastAsia="Arial" w:hAnsi="Arial"/>
          <w:color w:val="3A4A5A"/>
          <w:sz w:val="22"/>
          <w:szCs w:val="22"/>
        </w:rPr>
        <w:t xml:space="preserve">High-skill TES workers earning above the BCEA threshold are not subject to the 3-month conversion rule.</w:t>
      </w:r>
    </w:p>
    <w:p>
      <w:pPr>
        <w:pStyle w:val="Heading3"/>
      </w:pPr>
      <w:r>
        <w:t xml:space="preserve">3.2 Appointment Procedure</w:t>
      </w:r>
    </w:p>
    <w:p>
      <w:pPr>
        <w:pStyle w:val="Heading3"/>
      </w:pPr>
      <w:r>
        <w:t xml:space="preserve">3.2.1 Contractor Selection</w:t>
      </w:r>
    </w:p>
    <w:p>
      <w:pPr>
        <w:pStyle w:val="ListParagraph"/>
        <w:numPr>
          <w:ilvl w:val="0"/>
          <w:numId w:val="2"/>
        </w:numPr>
      </w:pPr>
      <w:r>
        <w:rPr>
          <w:rFonts w:ascii="Arial" w:cs="Arial" w:eastAsia="Arial" w:hAnsi="Arial"/>
          <w:color w:val="3A4A5A"/>
          <w:sz w:val="22"/>
          <w:szCs w:val="22"/>
        </w:rPr>
        <w:t xml:space="preserve">Contractors must be selected based on relevant experience, qualifications, and references.</w:t>
      </w:r>
    </w:p>
    <w:p>
      <w:pPr>
        <w:pStyle w:val="ListParagraph"/>
        <w:numPr>
          <w:ilvl w:val="0"/>
          <w:numId w:val="2"/>
        </w:numPr>
      </w:pPr>
      <w:r>
        <w:rPr>
          <w:rFonts w:ascii="Arial" w:cs="Arial" w:eastAsia="Arial" w:hAnsi="Arial"/>
          <w:color w:val="3A4A5A"/>
          <w:sz w:val="22"/>
          <w:szCs w:val="22"/>
        </w:rPr>
        <w:t xml:space="preserve">Background screening may be conducted for sensitive roles (financial, access to facilities).</w:t>
      </w:r>
    </w:p>
    <w:p>
      <w:pPr>
        <w:pStyle w:val="ListParagraph"/>
        <w:numPr>
          <w:ilvl w:val="0"/>
          <w:numId w:val="2"/>
        </w:numPr>
      </w:pPr>
      <w:r>
        <w:rPr>
          <w:rFonts w:ascii="Arial" w:cs="Arial" w:eastAsia="Arial" w:hAnsi="Arial"/>
          <w:color w:val="3A4A5A"/>
          <w:sz w:val="22"/>
          <w:szCs w:val="22"/>
        </w:rPr>
        <w:t xml:space="preserve">Contractor references must be checked and documented.</w:t>
      </w:r>
    </w:p>
    <w:p>
      <w:pPr>
        <w:pStyle w:val="Heading3"/>
      </w:pPr>
      <w:r>
        <w:t xml:space="preserve">3.2.2 Contractor Agreements</w:t>
      </w:r>
    </w:p>
    <w:p>
      <w:pPr>
        <w:pStyle w:val="ListParagraph"/>
        <w:numPr>
          <w:ilvl w:val="0"/>
          <w:numId w:val="2"/>
        </w:numPr>
      </w:pPr>
      <w:r>
        <w:rPr>
          <w:rFonts w:ascii="Arial" w:cs="Arial" w:eastAsia="Arial" w:hAnsi="Arial"/>
          <w:color w:val="3A4A5A"/>
          <w:sz w:val="22"/>
          <w:szCs w:val="22"/>
        </w:rPr>
        <w:t xml:space="preserve">All contractor arrangements must be formalized in a written contract/agreement.</w:t>
      </w:r>
    </w:p>
    <w:p>
      <w:pPr>
        <w:pStyle w:val="ListParagraph"/>
        <w:numPr>
          <w:ilvl w:val="0"/>
          <w:numId w:val="2"/>
        </w:numPr>
      </w:pPr>
      <w:r>
        <w:rPr>
          <w:rFonts w:ascii="Arial" w:cs="Arial" w:eastAsia="Arial" w:hAnsi="Arial"/>
          <w:color w:val="3A4A5A"/>
          <w:sz w:val="22"/>
          <w:szCs w:val="22"/>
        </w:rPr>
        <w:t xml:space="preserve">Contracts must clearly specify: nature of work, deliverables, duration, payment terms, termination clauses, IP assignment, and confidentiality.</w:t>
      </w:r>
    </w:p>
    <w:p>
      <w:pPr>
        <w:pStyle w:val="ListParagraph"/>
        <w:numPr>
          <w:ilvl w:val="0"/>
          <w:numId w:val="2"/>
        </w:numPr>
      </w:pPr>
      <w:r>
        <w:rPr>
          <w:rFonts w:ascii="Arial" w:cs="Arial" w:eastAsia="Arial" w:hAnsi="Arial"/>
          <w:color w:val="3A4A5A"/>
          <w:sz w:val="22"/>
          <w:szCs w:val="22"/>
        </w:rPr>
        <w:t xml:space="preserve">Contracts must state that the engagement is not an employment relationship (for independent contractors).</w:t>
      </w:r>
    </w:p>
    <w:p>
      <w:pPr>
        <w:pStyle w:val="ListParagraph"/>
        <w:numPr>
          <w:ilvl w:val="0"/>
          <w:numId w:val="2"/>
        </w:numPr>
      </w:pPr>
      <w:r>
        <w:rPr>
          <w:rFonts w:ascii="Arial" w:cs="Arial" w:eastAsia="Arial" w:hAnsi="Arial"/>
          <w:color w:val="3A4A5A"/>
          <w:sz w:val="22"/>
          <w:szCs w:val="22"/>
        </w:rPr>
        <w:t xml:space="preserve">Independent contractor agreements should clarify that the contractor is responsible for tax (PAYE, Income Tax) and provide IRP30 exemption certificate if applicable.</w:t>
      </w:r>
    </w:p>
    <w:p>
      <w:pPr>
        <w:pStyle w:val="ListParagraph"/>
        <w:numPr>
          <w:ilvl w:val="0"/>
          <w:numId w:val="2"/>
        </w:numPr>
      </w:pPr>
      <w:r>
        <w:rPr>
          <w:rFonts w:ascii="Arial" w:cs="Arial" w:eastAsia="Arial" w:hAnsi="Arial"/>
          <w:color w:val="3A4A5A"/>
          <w:sz w:val="22"/>
          <w:szCs w:val="22"/>
        </w:rPr>
        <w:t xml:space="preserve">All contractors must provide valid tax clearance certificates or confirm registered taxpayer status.</w:t>
      </w:r>
    </w:p>
    <w:p>
      <w:pPr>
        <w:pStyle w:val="Heading3"/>
      </w:pPr>
      <w:r>
        <w:t xml:space="preserve">3.2.3 Tax and Compliance</w:t>
      </w:r>
    </w:p>
    <w:p>
      <w:pPr>
        <w:pStyle w:val="ListParagraph"/>
        <w:numPr>
          <w:ilvl w:val="0"/>
          <w:numId w:val="2"/>
        </w:numPr>
      </w:pPr>
      <w:r>
        <w:rPr>
          <w:rFonts w:ascii="Arial" w:cs="Arial" w:eastAsia="Arial" w:hAnsi="Arial"/>
          <w:color w:val="3A4A5A"/>
          <w:sz w:val="22"/>
          <w:szCs w:val="22"/>
        </w:rPr>
        <w:t xml:space="preserve">Independent contractors earning more than R25,000 per annum are required to register as taxpayers.</w:t>
      </w:r>
    </w:p>
    <w:p>
      <w:pPr>
        <w:pStyle w:val="ListParagraph"/>
        <w:numPr>
          <w:ilvl w:val="0"/>
          <w:numId w:val="2"/>
        </w:numPr>
      </w:pPr>
      <w:r>
        <w:rPr>
          <w:rFonts w:ascii="Arial" w:cs="Arial" w:eastAsia="Arial" w:hAnsi="Arial"/>
          <w:color w:val="3A4A5A"/>
          <w:sz w:val="22"/>
          <w:szCs w:val="22"/>
        </w:rPr>
        <w:t xml:space="preserve">Contractors providing an IRP30 exemption certificate confirm they have no tax liability; payments do not require PAYE withholding.</w:t>
      </w:r>
    </w:p>
    <w:p>
      <w:pPr>
        <w:pStyle w:val="ListParagraph"/>
        <w:numPr>
          <w:ilvl w:val="0"/>
          <w:numId w:val="2"/>
        </w:numPr>
      </w:pPr>
      <w:r>
        <w:rPr>
          <w:rFonts w:ascii="Arial" w:cs="Arial" w:eastAsia="Arial" w:hAnsi="Arial"/>
          <w:color w:val="3A4A5A"/>
          <w:sz w:val="22"/>
          <w:szCs w:val="22"/>
        </w:rPr>
        <w:t xml:space="preserve">If a contractor does not provide an IRP30 exemption, the company must withhold PAYE at standard rates (approximately 20-40% depending on income).</w:t>
      </w:r>
    </w:p>
    <w:p>
      <w:pPr>
        <w:pStyle w:val="ListParagraph"/>
        <w:numPr>
          <w:ilvl w:val="0"/>
          <w:numId w:val="2"/>
        </w:numPr>
      </w:pPr>
      <w:r>
        <w:rPr>
          <w:rFonts w:ascii="Arial" w:cs="Arial" w:eastAsia="Arial" w:hAnsi="Arial"/>
          <w:color w:val="3A4A5A"/>
          <w:sz w:val="22"/>
          <w:szCs w:val="22"/>
        </w:rPr>
        <w:t xml:space="preserve">The company will issue IRP501 (Payment Certificate) to contractors for tax purposes.</w:t>
      </w:r>
    </w:p>
    <w:p>
      <w:pPr>
        <w:pStyle w:val="ListParagraph"/>
        <w:numPr>
          <w:ilvl w:val="0"/>
          <w:numId w:val="2"/>
        </w:numPr>
      </w:pPr>
      <w:r>
        <w:rPr>
          <w:rFonts w:ascii="Arial" w:cs="Arial" w:eastAsia="Arial" w:hAnsi="Arial"/>
          <w:color w:val="3A4A5A"/>
          <w:sz w:val="22"/>
          <w:szCs w:val="22"/>
        </w:rPr>
        <w:t xml:space="preserve">Contractors must declare their contractor income to SARS for personal tax returns.</w:t>
      </w:r>
    </w:p>
    <w:p>
      <w:pPr>
        <w:pStyle w:val="ListParagraph"/>
        <w:numPr>
          <w:ilvl w:val="0"/>
          <w:numId w:val="2"/>
        </w:numPr>
      </w:pPr>
      <w:r>
        <w:rPr>
          <w:rFonts w:ascii="Arial" w:cs="Arial" w:eastAsia="Arial" w:hAnsi="Arial"/>
          <w:color w:val="3A4A5A"/>
          <w:sz w:val="22"/>
          <w:szCs w:val="22"/>
        </w:rPr>
        <w:t xml:space="preserve">Failure to comply with tax requirements may result in SARS penalties for both the company and contractor.</w:t>
      </w:r>
    </w:p>
    <w:p>
      <w:pPr>
        <w:pStyle w:val="Heading3"/>
      </w:pPr>
      <w:r>
        <w:t xml:space="preserve">3.3 Management and Payment</w:t>
      </w:r>
    </w:p>
    <w:p>
      <w:pPr>
        <w:pStyle w:val="Heading3"/>
      </w:pPr>
      <w:r>
        <w:t xml:space="preserve">3.3.1 Compensation and Invoicing</w:t>
      </w:r>
    </w:p>
    <w:p>
      <w:pPr>
        <w:pStyle w:val="ListParagraph"/>
        <w:numPr>
          <w:ilvl w:val="0"/>
          <w:numId w:val="2"/>
        </w:numPr>
      </w:pPr>
      <w:r>
        <w:rPr>
          <w:rFonts w:ascii="Arial" w:cs="Arial" w:eastAsia="Arial" w:hAnsi="Arial"/>
          <w:color w:val="3A4A5A"/>
          <w:sz w:val="22"/>
          <w:szCs w:val="22"/>
        </w:rPr>
        <w:t xml:space="preserve">Independent contractors invoice for services rendered; payment is typically made within 30 days of invoice.</w:t>
      </w:r>
    </w:p>
    <w:p>
      <w:pPr>
        <w:pStyle w:val="ListParagraph"/>
        <w:numPr>
          <w:ilvl w:val="0"/>
          <w:numId w:val="2"/>
        </w:numPr>
      </w:pPr>
      <w:r>
        <w:rPr>
          <w:rFonts w:ascii="Arial" w:cs="Arial" w:eastAsia="Arial" w:hAnsi="Arial"/>
          <w:color w:val="3A4A5A"/>
          <w:sz w:val="22"/>
          <w:szCs w:val="22"/>
        </w:rPr>
        <w:t xml:space="preserve">Fixed-term contract workers are typically paid monthly salary (PAYE applicable) or via services agreement.</w:t>
      </w:r>
    </w:p>
    <w:p>
      <w:pPr>
        <w:pStyle w:val="ListParagraph"/>
        <w:numPr>
          <w:ilvl w:val="0"/>
          <w:numId w:val="2"/>
        </w:numPr>
      </w:pPr>
      <w:r>
        <w:rPr>
          <w:rFonts w:ascii="Arial" w:cs="Arial" w:eastAsia="Arial" w:hAnsi="Arial"/>
          <w:color w:val="3A4A5A"/>
          <w:sz w:val="22"/>
          <w:szCs w:val="22"/>
        </w:rPr>
        <w:t xml:space="preserve">TES workers' wages are paid by the labour broker; the company reimburses the broker.</w:t>
      </w:r>
    </w:p>
    <w:p>
      <w:pPr>
        <w:pStyle w:val="ListParagraph"/>
        <w:numPr>
          <w:ilvl w:val="0"/>
          <w:numId w:val="2"/>
        </w:numPr>
      </w:pPr>
      <w:r>
        <w:rPr>
          <w:rFonts w:ascii="Arial" w:cs="Arial" w:eastAsia="Arial" w:hAnsi="Arial"/>
          <w:color w:val="3A4A5A"/>
          <w:sz w:val="22"/>
          <w:szCs w:val="22"/>
        </w:rPr>
        <w:t xml:space="preserve">Rates are agreed upfront and clearly documented in the contract.</w:t>
      </w:r>
    </w:p>
    <w:p>
      <w:pPr>
        <w:pStyle w:val="ListParagraph"/>
        <w:numPr>
          <w:ilvl w:val="0"/>
          <w:numId w:val="2"/>
        </w:numPr>
      </w:pPr>
      <w:r>
        <w:rPr>
          <w:rFonts w:ascii="Arial" w:cs="Arial" w:eastAsia="Arial" w:hAnsi="Arial"/>
          <w:color w:val="3A4A5A"/>
          <w:sz w:val="22"/>
          <w:szCs w:val="22"/>
        </w:rPr>
        <w:t xml:space="preserve">Payment terms must specify invoice submission requirements and payment conditions.</w:t>
      </w:r>
    </w:p>
    <w:p>
      <w:pPr>
        <w:pStyle w:val="Heading3"/>
      </w:pPr>
      <w:r>
        <w:t xml:space="preserve">3.3.2 Tools of Trade and Equipment</w:t>
      </w:r>
    </w:p>
    <w:p>
      <w:pPr>
        <w:pStyle w:val="ListParagraph"/>
        <w:numPr>
          <w:ilvl w:val="0"/>
          <w:numId w:val="2"/>
        </w:numPr>
      </w:pPr>
      <w:r>
        <w:rPr>
          <w:rFonts w:ascii="Arial" w:cs="Arial" w:eastAsia="Arial" w:hAnsi="Arial"/>
          <w:color w:val="3A4A5A"/>
          <w:sz w:val="22"/>
          <w:szCs w:val="22"/>
        </w:rPr>
        <w:t xml:space="preserve">The company will typically provide basic office equipment (desk, computer, phone) for contractors working on-site.</w:t>
      </w:r>
    </w:p>
    <w:p>
      <w:pPr>
        <w:pStyle w:val="ListParagraph"/>
        <w:numPr>
          <w:ilvl w:val="0"/>
          <w:numId w:val="2"/>
        </w:numPr>
      </w:pPr>
      <w:r>
        <w:rPr>
          <w:rFonts w:ascii="Arial" w:cs="Arial" w:eastAsia="Arial" w:hAnsi="Arial"/>
          <w:color w:val="3A4A5A"/>
          <w:sz w:val="22"/>
          <w:szCs w:val="22"/>
        </w:rPr>
        <w:t xml:space="preserve">Contractors are responsible for specialized tools and software unless otherwise specified in the contract.</w:t>
      </w:r>
    </w:p>
    <w:p>
      <w:pPr>
        <w:pStyle w:val="ListParagraph"/>
        <w:numPr>
          <w:ilvl w:val="0"/>
          <w:numId w:val="2"/>
        </w:numPr>
      </w:pPr>
      <w:r>
        <w:rPr>
          <w:rFonts w:ascii="Arial" w:cs="Arial" w:eastAsia="Arial" w:hAnsi="Arial"/>
          <w:color w:val="3A4A5A"/>
          <w:sz w:val="22"/>
          <w:szCs w:val="22"/>
        </w:rPr>
        <w:t xml:space="preserve">If the company provides equipment, the contractor acknowledges company ownership and agrees to return it upon completion.</w:t>
      </w:r>
    </w:p>
    <w:p>
      <w:pPr>
        <w:pStyle w:val="ListParagraph"/>
        <w:numPr>
          <w:ilvl w:val="0"/>
          <w:numId w:val="2"/>
        </w:numPr>
      </w:pPr>
      <w:r>
        <w:rPr>
          <w:rFonts w:ascii="Arial" w:cs="Arial" w:eastAsia="Arial" w:hAnsi="Arial"/>
          <w:color w:val="3A4A5A"/>
          <w:sz w:val="22"/>
          <w:szCs w:val="22"/>
        </w:rPr>
        <w:t xml:space="preserve">Contractors must use company equipment only for contracted work and comply with IT security policies.</w:t>
      </w:r>
    </w:p>
    <w:p>
      <w:pPr>
        <w:pStyle w:val="Heading3"/>
      </w:pPr>
      <w:r>
        <w:t xml:space="preserve">3.3.3 Work Location and Hours</w:t>
      </w:r>
    </w:p>
    <w:p>
      <w:pPr>
        <w:pStyle w:val="ListParagraph"/>
        <w:numPr>
          <w:ilvl w:val="0"/>
          <w:numId w:val="2"/>
        </w:numPr>
      </w:pPr>
      <w:r>
        <w:rPr>
          <w:rFonts w:ascii="Arial" w:cs="Arial" w:eastAsia="Arial" w:hAnsi="Arial"/>
          <w:color w:val="3A4A5A"/>
          <w:sz w:val="22"/>
          <w:szCs w:val="22"/>
        </w:rPr>
        <w:t xml:space="preserve">Work location (office, remote, on-site at client location) must be specified in the contract.</w:t>
      </w:r>
    </w:p>
    <w:p>
      <w:pPr>
        <w:pStyle w:val="ListParagraph"/>
        <w:numPr>
          <w:ilvl w:val="0"/>
          <w:numId w:val="2"/>
        </w:numPr>
      </w:pPr>
      <w:r>
        <w:rPr>
          <w:rFonts w:ascii="Arial" w:cs="Arial" w:eastAsia="Arial" w:hAnsi="Arial"/>
          <w:color w:val="3A4A5A"/>
          <w:sz w:val="22"/>
          <w:szCs w:val="22"/>
        </w:rPr>
        <w:t xml:space="preserve">Core hours or flexibility arrangements must be documented.</w:t>
      </w:r>
    </w:p>
    <w:p>
      <w:pPr>
        <w:pStyle w:val="ListParagraph"/>
        <w:numPr>
          <w:ilvl w:val="0"/>
          <w:numId w:val="2"/>
        </w:numPr>
      </w:pPr>
      <w:r>
        <w:rPr>
          <w:rFonts w:ascii="Arial" w:cs="Arial" w:eastAsia="Arial" w:hAnsi="Arial"/>
          <w:color w:val="3A4A5A"/>
          <w:sz w:val="22"/>
          <w:szCs w:val="22"/>
        </w:rPr>
        <w:t xml:space="preserve">Contractors are expected to meet agreed deliverables and deadlines.</w:t>
      </w:r>
    </w:p>
    <w:p>
      <w:pPr>
        <w:pStyle w:val="ListParagraph"/>
        <w:numPr>
          <w:ilvl w:val="0"/>
          <w:numId w:val="2"/>
        </w:numPr>
      </w:pPr>
      <w:r>
        <w:rPr>
          <w:rFonts w:ascii="Arial" w:cs="Arial" w:eastAsia="Arial" w:hAnsi="Arial"/>
          <w:color w:val="3A4A5A"/>
          <w:sz w:val="22"/>
          <w:szCs w:val="22"/>
        </w:rPr>
        <w:t xml:space="preserve">The company is not responsible for providing leave entitlements or paid time off for independent contractors (not applicable to fixed-term or TES workers).</w:t>
      </w:r>
    </w:p>
    <w:p>
      <w:pPr>
        <w:pStyle w:val="Heading3"/>
      </w:pPr>
      <w:r>
        <w:t xml:space="preserve">3.4 Intellectual Property (IP) Assignment</w:t>
      </w:r>
    </w:p>
    <w:p>
      <w:pPr>
        <w:pStyle w:val="ListParagraph"/>
        <w:numPr>
          <w:ilvl w:val="0"/>
          <w:numId w:val="2"/>
        </w:numPr>
      </w:pPr>
      <w:r>
        <w:rPr>
          <w:rFonts w:ascii="Arial" w:cs="Arial" w:eastAsia="Arial" w:hAnsi="Arial"/>
          <w:color w:val="3A4A5A"/>
          <w:sz w:val="22"/>
          <w:szCs w:val="22"/>
        </w:rPr>
        <w:t xml:space="preserve">All work product, deliverables, code, designs, documents, and intellectual property created by the contractor in the course of the engagement belong to Jera Consulting.</w:t>
      </w:r>
    </w:p>
    <w:p>
      <w:pPr>
        <w:pStyle w:val="ListParagraph"/>
        <w:numPr>
          <w:ilvl w:val="0"/>
          <w:numId w:val="2"/>
        </w:numPr>
      </w:pPr>
      <w:r>
        <w:rPr>
          <w:rFonts w:ascii="Arial" w:cs="Arial" w:eastAsia="Arial" w:hAnsi="Arial"/>
          <w:color w:val="3A4A5A"/>
          <w:sz w:val="22"/>
          <w:szCs w:val="22"/>
        </w:rPr>
        <w:t xml:space="preserve">The contractor assigns all IP rights and consents to the company's use, modification, and commercialization of the work.</w:t>
      </w:r>
    </w:p>
    <w:p>
      <w:pPr>
        <w:pStyle w:val="ListParagraph"/>
        <w:numPr>
          <w:ilvl w:val="0"/>
          <w:numId w:val="2"/>
        </w:numPr>
      </w:pPr>
      <w:r>
        <w:rPr>
          <w:rFonts w:ascii="Arial" w:cs="Arial" w:eastAsia="Arial" w:hAnsi="Arial"/>
          <w:color w:val="3A4A5A"/>
          <w:sz w:val="22"/>
          <w:szCs w:val="22"/>
        </w:rPr>
        <w:t xml:space="preserve">If the work incorporates pre-existing IP or third-party material, the contractor must disclose this and provide appropriate licenses or rights.</w:t>
      </w:r>
    </w:p>
    <w:p>
      <w:pPr>
        <w:pStyle w:val="ListParagraph"/>
        <w:numPr>
          <w:ilvl w:val="0"/>
          <w:numId w:val="2"/>
        </w:numPr>
      </w:pPr>
      <w:r>
        <w:rPr>
          <w:rFonts w:ascii="Arial" w:cs="Arial" w:eastAsia="Arial" w:hAnsi="Arial"/>
          <w:color w:val="3A4A5A"/>
          <w:sz w:val="22"/>
          <w:szCs w:val="22"/>
        </w:rPr>
        <w:t xml:space="preserve">The contractor warrants they have the right to assign the IP and that the work does not infringe third-party IP.</w:t>
      </w:r>
    </w:p>
    <w:p>
      <w:pPr>
        <w:pStyle w:val="ListParagraph"/>
        <w:numPr>
          <w:ilvl w:val="0"/>
          <w:numId w:val="2"/>
        </w:numPr>
      </w:pPr>
      <w:r>
        <w:rPr>
          <w:rFonts w:ascii="Arial" w:cs="Arial" w:eastAsia="Arial" w:hAnsi="Arial"/>
          <w:color w:val="3A4A5A"/>
          <w:sz w:val="22"/>
          <w:szCs w:val="22"/>
        </w:rPr>
        <w:t xml:space="preserve">Contractor IP assignment should be explicitly documented in the engagement agreement.</w:t>
      </w:r>
    </w:p>
    <w:p>
      <w:pPr>
        <w:pStyle w:val="Heading3"/>
      </w:pPr>
      <w:r>
        <w:t xml:space="preserve">3.5 Confidentiality and POPIA Compliance</w:t>
      </w:r>
    </w:p>
    <w:p>
      <w:pPr>
        <w:pStyle w:val="ListParagraph"/>
        <w:numPr>
          <w:ilvl w:val="0"/>
          <w:numId w:val="2"/>
        </w:numPr>
      </w:pPr>
      <w:r>
        <w:rPr>
          <w:rFonts w:ascii="Arial" w:cs="Arial" w:eastAsia="Arial" w:hAnsi="Arial"/>
          <w:color w:val="3A4A5A"/>
          <w:sz w:val="22"/>
          <w:szCs w:val="22"/>
        </w:rPr>
        <w:t xml:space="preserve">Contractors must sign confidentiality/non-disclosure agreements protecting company and client information.</w:t>
      </w:r>
    </w:p>
    <w:p>
      <w:pPr>
        <w:pStyle w:val="ListParagraph"/>
        <w:numPr>
          <w:ilvl w:val="0"/>
          <w:numId w:val="2"/>
        </w:numPr>
      </w:pPr>
      <w:r>
        <w:rPr>
          <w:rFonts w:ascii="Arial" w:cs="Arial" w:eastAsia="Arial" w:hAnsi="Arial"/>
          <w:color w:val="3A4A5A"/>
          <w:sz w:val="22"/>
          <w:szCs w:val="22"/>
        </w:rPr>
        <w:t xml:space="preserve">Client lists, project data, financial information, and proprietary processes must remain confidential.</w:t>
      </w:r>
    </w:p>
    <w:p>
      <w:pPr>
        <w:pStyle w:val="ListParagraph"/>
        <w:numPr>
          <w:ilvl w:val="0"/>
          <w:numId w:val="2"/>
        </w:numPr>
      </w:pPr>
      <w:r>
        <w:rPr>
          <w:rFonts w:ascii="Arial" w:cs="Arial" w:eastAsia="Arial" w:hAnsi="Arial"/>
          <w:color w:val="3A4A5A"/>
          <w:sz w:val="22"/>
          <w:szCs w:val="22"/>
        </w:rPr>
        <w:t xml:space="preserve">Contractors handling personal information must comply with POPIA requirements.</w:t>
      </w:r>
    </w:p>
    <w:p>
      <w:pPr>
        <w:pStyle w:val="ListParagraph"/>
        <w:numPr>
          <w:ilvl w:val="0"/>
          <w:numId w:val="2"/>
        </w:numPr>
      </w:pPr>
      <w:r>
        <w:rPr>
          <w:rFonts w:ascii="Arial" w:cs="Arial" w:eastAsia="Arial" w:hAnsi="Arial"/>
          <w:color w:val="3A4A5A"/>
          <w:sz w:val="22"/>
          <w:szCs w:val="22"/>
        </w:rPr>
        <w:t xml:space="preserve">Data processing agreements may be required for contractors processing personal data on behalf of the company.</w:t>
      </w:r>
    </w:p>
    <w:p>
      <w:pPr>
        <w:pStyle w:val="ListParagraph"/>
        <w:numPr>
          <w:ilvl w:val="0"/>
          <w:numId w:val="2"/>
        </w:numPr>
      </w:pPr>
      <w:r>
        <w:rPr>
          <w:rFonts w:ascii="Arial" w:cs="Arial" w:eastAsia="Arial" w:hAnsi="Arial"/>
          <w:color w:val="3A4A5A"/>
          <w:sz w:val="22"/>
          <w:szCs w:val="22"/>
        </w:rPr>
        <w:t xml:space="preserve">Breach of confidentiality may result in termination and legal action for damages.</w:t>
      </w:r>
    </w:p>
    <w:p>
      <w:pPr>
        <w:pStyle w:val="Heading3"/>
      </w:pPr>
      <w:r>
        <w:t xml:space="preserve">3.6 Performance and Expectations</w:t>
      </w:r>
    </w:p>
    <w:p>
      <w:pPr>
        <w:pStyle w:val="ListParagraph"/>
        <w:numPr>
          <w:ilvl w:val="0"/>
          <w:numId w:val="2"/>
        </w:numPr>
      </w:pPr>
      <w:r>
        <w:rPr>
          <w:rFonts w:ascii="Arial" w:cs="Arial" w:eastAsia="Arial" w:hAnsi="Arial"/>
          <w:color w:val="3A4A5A"/>
          <w:sz w:val="22"/>
          <w:szCs w:val="22"/>
        </w:rPr>
        <w:t xml:space="preserve">Performance expectations and deliverables must be clearly documented.</w:t>
      </w:r>
    </w:p>
    <w:p>
      <w:pPr>
        <w:pStyle w:val="ListParagraph"/>
        <w:numPr>
          <w:ilvl w:val="0"/>
          <w:numId w:val="2"/>
        </w:numPr>
      </w:pPr>
      <w:r>
        <w:rPr>
          <w:rFonts w:ascii="Arial" w:cs="Arial" w:eastAsia="Arial" w:hAnsi="Arial"/>
          <w:color w:val="3A4A5A"/>
          <w:sz w:val="22"/>
          <w:szCs w:val="22"/>
        </w:rPr>
        <w:t xml:space="preserve">Regular progress updates may be requested for longer engagements.</w:t>
      </w:r>
    </w:p>
    <w:p>
      <w:pPr>
        <w:pStyle w:val="ListParagraph"/>
        <w:numPr>
          <w:ilvl w:val="0"/>
          <w:numId w:val="2"/>
        </w:numPr>
      </w:pPr>
      <w:r>
        <w:rPr>
          <w:rFonts w:ascii="Arial" w:cs="Arial" w:eastAsia="Arial" w:hAnsi="Arial"/>
          <w:color w:val="3A4A5A"/>
          <w:sz w:val="22"/>
          <w:szCs w:val="22"/>
        </w:rPr>
        <w:t xml:space="preserve">The company reserves the right to terminate the contract if deliverables are not met or quality standards are not maintained.</w:t>
      </w:r>
    </w:p>
    <w:p>
      <w:pPr>
        <w:pStyle w:val="ListParagraph"/>
        <w:numPr>
          <w:ilvl w:val="0"/>
          <w:numId w:val="2"/>
        </w:numPr>
      </w:pPr>
      <w:r>
        <w:rPr>
          <w:rFonts w:ascii="Arial" w:cs="Arial" w:eastAsia="Arial" w:hAnsi="Arial"/>
          <w:color w:val="3A4A5A"/>
          <w:sz w:val="22"/>
          <w:szCs w:val="22"/>
        </w:rPr>
        <w:t xml:space="preserve">No expectation of permanent employment exists; contractors understand the engagement is temporary or project-based.</w:t>
      </w:r>
    </w:p>
    <w:p>
      <w:pPr>
        <w:pStyle w:val="Heading2"/>
      </w:pPr>
      <w:r>
        <w:t xml:space="preserve">4. Termination of Contractor Agreements</w:t>
      </w:r>
    </w:p>
    <w:p>
      <w:pPr>
        <w:pStyle w:val="Heading3"/>
      </w:pPr>
      <w:r>
        <w:t xml:space="preserve">4.1 Fixed-Term Contracts</w:t>
      </w:r>
    </w:p>
    <w:p>
      <w:pPr>
        <w:pStyle w:val="ListParagraph"/>
        <w:numPr>
          <w:ilvl w:val="0"/>
          <w:numId w:val="2"/>
        </w:numPr>
      </w:pPr>
      <w:r>
        <w:rPr>
          <w:rFonts w:ascii="Arial" w:cs="Arial" w:eastAsia="Arial" w:hAnsi="Arial"/>
          <w:color w:val="3A4A5A"/>
          <w:sz w:val="22"/>
          <w:szCs w:val="22"/>
        </w:rPr>
        <w:t xml:space="preserve">Employment automatically concludes on the specified end date; no severance is required.</w:t>
      </w:r>
    </w:p>
    <w:p>
      <w:pPr>
        <w:pStyle w:val="ListParagraph"/>
        <w:numPr>
          <w:ilvl w:val="0"/>
          <w:numId w:val="2"/>
        </w:numPr>
      </w:pPr>
      <w:r>
        <w:rPr>
          <w:rFonts w:ascii="Arial" w:cs="Arial" w:eastAsia="Arial" w:hAnsi="Arial"/>
          <w:color w:val="3A4A5A"/>
          <w:sz w:val="22"/>
          <w:szCs w:val="22"/>
        </w:rPr>
        <w:t xml:space="preserve">If the contract is not renewed and the worker earned below the BCEA threshold, a notice of non-renewal should be provided 30 days in advance.</w:t>
      </w:r>
    </w:p>
    <w:p>
      <w:pPr>
        <w:pStyle w:val="ListParagraph"/>
        <w:numPr>
          <w:ilvl w:val="0"/>
          <w:numId w:val="2"/>
        </w:numPr>
      </w:pPr>
      <w:r>
        <w:rPr>
          <w:rFonts w:ascii="Arial" w:cs="Arial" w:eastAsia="Arial" w:hAnsi="Arial"/>
          <w:color w:val="3A4A5A"/>
          <w:sz w:val="22"/>
          <w:szCs w:val="22"/>
        </w:rPr>
        <w:t xml:space="preserve">If renewed or extended, the continuation must be formalized in writing to avoid inadvertent indefinite employment.</w:t>
      </w:r>
    </w:p>
    <w:p>
      <w:pPr>
        <w:pStyle w:val="Heading3"/>
      </w:pPr>
      <w:r>
        <w:t xml:space="preserve">4.2 Independent Contractors</w:t>
      </w:r>
    </w:p>
    <w:p>
      <w:pPr>
        <w:pStyle w:val="ListParagraph"/>
        <w:numPr>
          <w:ilvl w:val="0"/>
          <w:numId w:val="2"/>
        </w:numPr>
      </w:pPr>
      <w:r>
        <w:rPr>
          <w:rFonts w:ascii="Arial" w:cs="Arial" w:eastAsia="Arial" w:hAnsi="Arial"/>
          <w:color w:val="3A4A5A"/>
          <w:sz w:val="22"/>
          <w:szCs w:val="22"/>
        </w:rPr>
        <w:t xml:space="preserve">The engagement may be terminated immediately if specified in the contract or by mutual agreement.</w:t>
      </w:r>
    </w:p>
    <w:p>
      <w:pPr>
        <w:pStyle w:val="ListParagraph"/>
        <w:numPr>
          <w:ilvl w:val="0"/>
          <w:numId w:val="2"/>
        </w:numPr>
      </w:pPr>
      <w:r>
        <w:rPr>
          <w:rFonts w:ascii="Arial" w:cs="Arial" w:eastAsia="Arial" w:hAnsi="Arial"/>
          <w:color w:val="3A4A5A"/>
          <w:sz w:val="22"/>
          <w:szCs w:val="22"/>
        </w:rPr>
        <w:t xml:space="preserve">If termination is without cause, reasonable notice (typically 2-4 weeks) should be provided.</w:t>
      </w:r>
    </w:p>
    <w:p>
      <w:pPr>
        <w:pStyle w:val="ListParagraph"/>
        <w:numPr>
          <w:ilvl w:val="0"/>
          <w:numId w:val="2"/>
        </w:numPr>
      </w:pPr>
      <w:r>
        <w:rPr>
          <w:rFonts w:ascii="Arial" w:cs="Arial" w:eastAsia="Arial" w:hAnsi="Arial"/>
          <w:color w:val="3A4A5A"/>
          <w:sz w:val="22"/>
          <w:szCs w:val="22"/>
        </w:rPr>
        <w:t xml:space="preserve">Outstanding invoices are paid upon termination; no severance or terminal benefits are due.</w:t>
      </w:r>
    </w:p>
    <w:p>
      <w:pPr>
        <w:pStyle w:val="ListParagraph"/>
        <w:numPr>
          <w:ilvl w:val="0"/>
          <w:numId w:val="2"/>
        </w:numPr>
      </w:pPr>
      <w:r>
        <w:rPr>
          <w:rFonts w:ascii="Arial" w:cs="Arial" w:eastAsia="Arial" w:hAnsi="Arial"/>
          <w:color w:val="3A4A5A"/>
          <w:sz w:val="22"/>
          <w:szCs w:val="22"/>
        </w:rPr>
        <w:t xml:space="preserve">Equipment must be returned in working condition.</w:t>
      </w:r>
    </w:p>
    <w:p>
      <w:pPr>
        <w:pStyle w:val="Heading3"/>
      </w:pPr>
      <w:r>
        <w:t xml:space="preserve">4.3 TES Workers</w:t>
      </w:r>
    </w:p>
    <w:p>
      <w:pPr>
        <w:pStyle w:val="ListParagraph"/>
        <w:numPr>
          <w:ilvl w:val="0"/>
          <w:numId w:val="2"/>
        </w:numPr>
      </w:pPr>
      <w:r>
        <w:rPr>
          <w:rFonts w:ascii="Arial" w:cs="Arial" w:eastAsia="Arial" w:hAnsi="Arial"/>
          <w:color w:val="3A4A5A"/>
          <w:sz w:val="22"/>
          <w:szCs w:val="22"/>
        </w:rPr>
        <w:t xml:space="preserve">Termination is arranged with the labour broker; the company instructs the broker to terminate the assignment.</w:t>
      </w:r>
    </w:p>
    <w:p>
      <w:pPr>
        <w:pStyle w:val="ListParagraph"/>
        <w:numPr>
          <w:ilvl w:val="0"/>
          <w:numId w:val="2"/>
        </w:numPr>
      </w:pPr>
      <w:r>
        <w:rPr>
          <w:rFonts w:ascii="Arial" w:cs="Arial" w:eastAsia="Arial" w:hAnsi="Arial"/>
          <w:color w:val="3A4A5A"/>
          <w:sz w:val="22"/>
          <w:szCs w:val="22"/>
        </w:rPr>
        <w:t xml:space="preserve">TES workers may be terminated at any time unless deemed employees under s198A (in which case unfair dismissal protection applies).</w:t>
      </w:r>
    </w:p>
    <w:p>
      <w:pPr>
        <w:pStyle w:val="ListParagraph"/>
        <w:numPr>
          <w:ilvl w:val="0"/>
          <w:numId w:val="2"/>
        </w:numPr>
      </w:pPr>
      <w:r>
        <w:rPr>
          <w:rFonts w:ascii="Arial" w:cs="Arial" w:eastAsia="Arial" w:hAnsi="Arial"/>
          <w:color w:val="3A4A5A"/>
          <w:sz w:val="22"/>
          <w:szCs w:val="22"/>
        </w:rPr>
        <w:t xml:space="preserve">Notice periods and termination procedures are governed by the TES agreement and applicable labour law.</w:t>
      </w:r>
    </w:p>
    <w:p>
      <w:pPr>
        <w:pStyle w:val="Heading3"/>
      </w:pPr>
      <w:r>
        <w:t xml:space="preserve">4.4 Final Administration</w:t>
      </w:r>
    </w:p>
    <w:p>
      <w:pPr>
        <w:pStyle w:val="ListParagraph"/>
        <w:numPr>
          <w:ilvl w:val="0"/>
          <w:numId w:val="2"/>
        </w:numPr>
      </w:pPr>
      <w:r>
        <w:rPr>
          <w:rFonts w:ascii="Arial" w:cs="Arial" w:eastAsia="Arial" w:hAnsi="Arial"/>
          <w:color w:val="3A4A5A"/>
          <w:sz w:val="22"/>
          <w:szCs w:val="22"/>
        </w:rPr>
        <w:t xml:space="preserve">Final payment includes any outstanding invoices or accrued payments.</w:t>
      </w:r>
    </w:p>
    <w:p>
      <w:pPr>
        <w:pStyle w:val="ListParagraph"/>
        <w:numPr>
          <w:ilvl w:val="0"/>
          <w:numId w:val="2"/>
        </w:numPr>
      </w:pPr>
      <w:r>
        <w:rPr>
          <w:rFonts w:ascii="Arial" w:cs="Arial" w:eastAsia="Arial" w:hAnsi="Arial"/>
          <w:color w:val="3A4A5A"/>
          <w:sz w:val="22"/>
          <w:szCs w:val="22"/>
        </w:rPr>
        <w:t xml:space="preserve">All company equipment, access cards, and keys must be returned.</w:t>
      </w:r>
    </w:p>
    <w:p>
      <w:pPr>
        <w:pStyle w:val="ListParagraph"/>
        <w:numPr>
          <w:ilvl w:val="0"/>
          <w:numId w:val="2"/>
        </w:numPr>
      </w:pPr>
      <w:r>
        <w:rPr>
          <w:rFonts w:ascii="Arial" w:cs="Arial" w:eastAsia="Arial" w:hAnsi="Arial"/>
          <w:color w:val="3A4A5A"/>
          <w:sz w:val="22"/>
          <w:szCs w:val="22"/>
        </w:rPr>
        <w:t xml:space="preserve">IT access (email, systems, data) must be disabled on termination date.</w:t>
      </w:r>
    </w:p>
    <w:p>
      <w:pPr>
        <w:pStyle w:val="ListParagraph"/>
        <w:numPr>
          <w:ilvl w:val="0"/>
          <w:numId w:val="2"/>
        </w:numPr>
      </w:pPr>
      <w:r>
        <w:rPr>
          <w:rFonts w:ascii="Arial" w:cs="Arial" w:eastAsia="Arial" w:hAnsi="Arial"/>
          <w:color w:val="3A4A5A"/>
          <w:sz w:val="22"/>
          <w:szCs w:val="22"/>
        </w:rPr>
        <w:t xml:space="preserve">Final acknowledgment of confidentiality obligations should be obtained in writing.</w:t>
      </w:r>
    </w:p>
    <w:p>
      <w:pPr>
        <w:pStyle w:val="Heading2"/>
      </w:pPr>
      <w:r>
        <w:t xml:space="preserve">5. Section 198A (LRA) - Critical Compliance Issue</w:t>
      </w:r>
    </w:p>
    <w:p>
      <w:pPr>
        <w:spacing w:after="60" w:before="60"/>
      </w:pPr>
      <w:r>
        <w:rPr>
          <w:rFonts w:ascii="Arial" w:cs="Arial" w:eastAsia="Arial" w:hAnsi="Arial"/>
          <w:b w:val="false"/>
          <w:bCs w:val="false"/>
          <w:color w:val="3A4A5A"/>
          <w:sz w:val="22"/>
          <w:szCs w:val="22"/>
        </w:rPr>
        <w:t xml:space="preserve">The following requirements apply to prevent inadvertent employee status:</w:t>
      </w:r>
    </w:p>
    <w:p>
      <w:pPr>
        <w:pStyle w:val="ListParagraph"/>
        <w:numPr>
          <w:ilvl w:val="0"/>
          <w:numId w:val="2"/>
        </w:numPr>
      </w:pPr>
      <w:r>
        <w:rPr>
          <w:rFonts w:ascii="Arial" w:cs="Arial" w:eastAsia="Arial" w:hAnsi="Arial"/>
          <w:color w:val="3A4A5A"/>
          <w:sz w:val="22"/>
          <w:szCs w:val="22"/>
        </w:rPr>
        <w:t xml:space="preserve">TES workers earning below the BCEA threshold (R3,996/month as of 2026) employed for more than 3 consecutive months become deemed employees of the client.</w:t>
      </w:r>
    </w:p>
    <w:p>
      <w:pPr>
        <w:pStyle w:val="ListParagraph"/>
        <w:numPr>
          <w:ilvl w:val="0"/>
          <w:numId w:val="2"/>
        </w:numPr>
      </w:pPr>
      <w:r>
        <w:rPr>
          <w:rFonts w:ascii="Arial" w:cs="Arial" w:eastAsia="Arial" w:hAnsi="Arial"/>
          <w:color w:val="3A4A5A"/>
          <w:sz w:val="22"/>
          <w:szCs w:val="22"/>
        </w:rPr>
        <w:t xml:space="preserve">To engage a below-threshold worker beyond 3 months, the company must either: (a) terminate and replace the worker; (b) place them on a fixed-term contract with the company; or (c) formally accept them as an employee.</w:t>
      </w:r>
    </w:p>
    <w:p>
      <w:pPr>
        <w:pStyle w:val="ListParagraph"/>
        <w:numPr>
          <w:ilvl w:val="0"/>
          <w:numId w:val="2"/>
        </w:numPr>
      </w:pPr>
      <w:r>
        <w:rPr>
          <w:rFonts w:ascii="Arial" w:cs="Arial" w:eastAsia="Arial" w:hAnsi="Arial"/>
          <w:color w:val="3A4A5A"/>
          <w:sz w:val="22"/>
          <w:szCs w:val="22"/>
        </w:rPr>
        <w:t xml:space="preserve">Once deemed an employee, the worker is entitled to all statutory protections: minimum wage, leave, severance, UIF, etc.</w:t>
      </w:r>
    </w:p>
    <w:p>
      <w:pPr>
        <w:pStyle w:val="ListParagraph"/>
        <w:numPr>
          <w:ilvl w:val="0"/>
          <w:numId w:val="2"/>
        </w:numPr>
      </w:pPr>
      <w:r>
        <w:rPr>
          <w:rFonts w:ascii="Arial" w:cs="Arial" w:eastAsia="Arial" w:hAnsi="Arial"/>
          <w:color w:val="3A4A5A"/>
          <w:sz w:val="22"/>
          <w:szCs w:val="22"/>
        </w:rPr>
        <w:t xml:space="preserve">Failure to comply may expose the company to claims of unfair labour practice and wage claims.</w:t>
      </w:r>
    </w:p>
    <w:p>
      <w:pPr>
        <w:pStyle w:val="Heading2"/>
      </w:pPr>
      <w:r>
        <w:t xml:space="preserve">6. Contractor Status - Independent vs. Employee</w:t>
      </w:r>
    </w:p>
    <w:p>
      <w:pPr>
        <w:spacing w:after="60" w:before="60"/>
      </w:pPr>
      <w:r>
        <w:rPr>
          <w:rFonts w:ascii="Arial" w:cs="Arial" w:eastAsia="Arial" w:hAnsi="Arial"/>
          <w:b w:val="false"/>
          <w:bCs w:val="false"/>
          <w:color w:val="3A4A5A"/>
          <w:sz w:val="22"/>
          <w:szCs w:val="22"/>
        </w:rPr>
        <w:t xml:space="preserve">To protect contractor status and avoid inadvertent employment relationships:</w:t>
      </w:r>
    </w:p>
    <w:p>
      <w:pPr>
        <w:pStyle w:val="ListParagraph"/>
        <w:numPr>
          <w:ilvl w:val="0"/>
          <w:numId w:val="2"/>
        </w:numPr>
      </w:pPr>
      <w:r>
        <w:rPr>
          <w:rFonts w:ascii="Arial" w:cs="Arial" w:eastAsia="Arial" w:hAnsi="Arial"/>
          <w:color w:val="3A4A5A"/>
          <w:sz w:val="22"/>
          <w:szCs w:val="22"/>
        </w:rPr>
        <w:t xml:space="preserve">The contractor should control their own working method and hours (not closely supervised).</w:t>
      </w:r>
    </w:p>
    <w:p>
      <w:pPr>
        <w:pStyle w:val="ListParagraph"/>
        <w:numPr>
          <w:ilvl w:val="0"/>
          <w:numId w:val="2"/>
        </w:numPr>
      </w:pPr>
      <w:r>
        <w:rPr>
          <w:rFonts w:ascii="Arial" w:cs="Arial" w:eastAsia="Arial" w:hAnsi="Arial"/>
          <w:color w:val="3A4A5A"/>
          <w:sz w:val="22"/>
          <w:szCs w:val="22"/>
        </w:rPr>
        <w:t xml:space="preserve">The contractor should provide their own equipment and materials (unless agreed otherwise).</w:t>
      </w:r>
    </w:p>
    <w:p>
      <w:pPr>
        <w:pStyle w:val="ListParagraph"/>
        <w:numPr>
          <w:ilvl w:val="0"/>
          <w:numId w:val="2"/>
        </w:numPr>
      </w:pPr>
      <w:r>
        <w:rPr>
          <w:rFonts w:ascii="Arial" w:cs="Arial" w:eastAsia="Arial" w:hAnsi="Arial"/>
          <w:color w:val="3A4A5A"/>
          <w:sz w:val="22"/>
          <w:szCs w:val="22"/>
        </w:rPr>
        <w:t xml:space="preserve">The contractor should be able to refuse work or delegate to a substitute (in some cases).</w:t>
      </w:r>
    </w:p>
    <w:p>
      <w:pPr>
        <w:pStyle w:val="ListParagraph"/>
        <w:numPr>
          <w:ilvl w:val="0"/>
          <w:numId w:val="2"/>
        </w:numPr>
      </w:pPr>
      <w:r>
        <w:rPr>
          <w:rFonts w:ascii="Arial" w:cs="Arial" w:eastAsia="Arial" w:hAnsi="Arial"/>
          <w:color w:val="3A4A5A"/>
          <w:sz w:val="22"/>
          <w:szCs w:val="22"/>
        </w:rPr>
        <w:t xml:space="preserve">The contractor should be free to work for other clients and competitors.</w:t>
      </w:r>
    </w:p>
    <w:p>
      <w:pPr>
        <w:pStyle w:val="ListParagraph"/>
        <w:numPr>
          <w:ilvl w:val="0"/>
          <w:numId w:val="2"/>
        </w:numPr>
      </w:pPr>
      <w:r>
        <w:rPr>
          <w:rFonts w:ascii="Arial" w:cs="Arial" w:eastAsia="Arial" w:hAnsi="Arial"/>
          <w:color w:val="3A4A5A"/>
          <w:sz w:val="22"/>
          <w:szCs w:val="22"/>
        </w:rPr>
        <w:t xml:space="preserve">Remuneration should be payment for deliverables/services, not hourly wages.</w:t>
      </w:r>
    </w:p>
    <w:p>
      <w:pPr>
        <w:pStyle w:val="ListParagraph"/>
        <w:numPr>
          <w:ilvl w:val="0"/>
          <w:numId w:val="2"/>
        </w:numPr>
      </w:pPr>
      <w:r>
        <w:rPr>
          <w:rFonts w:ascii="Arial" w:cs="Arial" w:eastAsia="Arial" w:hAnsi="Arial"/>
          <w:color w:val="3A4A5A"/>
          <w:sz w:val="22"/>
          <w:szCs w:val="22"/>
        </w:rPr>
        <w:t xml:space="preserve">The contractor should not be integrated into company organizational structure or benefit from company benefits.</w:t>
      </w:r>
    </w:p>
    <w:p>
      <w:pPr>
        <w:pStyle w:val="Heading2"/>
      </w:pPr>
      <w:r>
        <w:t xml:space="preserve">7. Responsibilities</w:t>
      </w:r>
    </w:p>
    <w:p>
      <w:pPr>
        <w:pStyle w:val="ListParagraph"/>
        <w:numPr>
          <w:ilvl w:val="0"/>
          <w:numId w:val="2"/>
        </w:numPr>
      </w:pPr>
      <w:r>
        <w:rPr>
          <w:rFonts w:ascii="Arial" w:cs="Arial" w:eastAsia="Arial" w:hAnsi="Arial"/>
          <w:color w:val="3A4A5A"/>
          <w:sz w:val="22"/>
          <w:szCs w:val="22"/>
        </w:rPr>
        <w:t xml:space="preserve">HR Department: prepare contractor agreements, verify tax compliance, track contractor tenure for s198A compliance.</w:t>
      </w:r>
    </w:p>
    <w:p>
      <w:pPr>
        <w:pStyle w:val="ListParagraph"/>
        <w:numPr>
          <w:ilvl w:val="0"/>
          <w:numId w:val="2"/>
        </w:numPr>
      </w:pPr>
      <w:r>
        <w:rPr>
          <w:rFonts w:ascii="Arial" w:cs="Arial" w:eastAsia="Arial" w:hAnsi="Arial"/>
          <w:color w:val="3A4A5A"/>
          <w:sz w:val="22"/>
          <w:szCs w:val="22"/>
        </w:rPr>
        <w:t xml:space="preserve">Finance Department: process invoices, issue tax certificates (IRP501), arrange TES broker payments.</w:t>
      </w:r>
    </w:p>
    <w:p>
      <w:pPr>
        <w:pStyle w:val="ListParagraph"/>
        <w:numPr>
          <w:ilvl w:val="0"/>
          <w:numId w:val="2"/>
        </w:numPr>
      </w:pPr>
      <w:r>
        <w:rPr>
          <w:rFonts w:ascii="Arial" w:cs="Arial" w:eastAsia="Arial" w:hAnsi="Arial"/>
          <w:color w:val="3A4A5A"/>
          <w:sz w:val="22"/>
          <w:szCs w:val="22"/>
        </w:rPr>
        <w:t xml:space="preserve">Hiring Manager: clearly specify deliverables and expectations, provide regular feedback, advise HR of engagement end dates.</w:t>
      </w:r>
    </w:p>
    <w:p>
      <w:pPr>
        <w:pStyle w:val="ListParagraph"/>
        <w:numPr>
          <w:ilvl w:val="0"/>
          <w:numId w:val="2"/>
        </w:numPr>
      </w:pPr>
      <w:r>
        <w:rPr>
          <w:rFonts w:ascii="Arial" w:cs="Arial" w:eastAsia="Arial" w:hAnsi="Arial"/>
          <w:color w:val="3A4A5A"/>
          <w:sz w:val="22"/>
          <w:szCs w:val="22"/>
        </w:rPr>
        <w:t xml:space="preserve">Legal/Compliance: review IP assignment clauses, ensure confidentiality agreements, monitor LRA compliance.</w:t>
      </w:r>
    </w:p>
    <w:p>
      <w:pPr>
        <w:pStyle w:val="Heading2"/>
      </w:pPr>
      <w:r>
        <w:t xml:space="preserve">8. Effective Date</w:t>
      </w:r>
    </w:p>
    <w:p>
      <w:pPr>
        <w:spacing w:after="60" w:before="60"/>
      </w:pPr>
      <w:r>
        <w:rPr>
          <w:rFonts w:ascii="Arial" w:cs="Arial" w:eastAsia="Arial" w:hAnsi="Arial"/>
          <w:b w:val="false"/>
          <w:bCs w:val="false"/>
          <w:color w:val="3A4A5A"/>
          <w:sz w:val="22"/>
          <w:szCs w:val="22"/>
        </w:rPr>
        <w:t xml:space="preserve">This policy is effective from 1 April 2026.</w:t>
      </w:r>
    </w:p>
    <w:p>
      <w:pPr>
        <w:pStyle w:val="Heading2"/>
      </w:pPr>
      <w:r>
        <w:t xml:space="preserve">9. References</w:t>
      </w:r>
    </w:p>
    <w:p>
      <w:pPr>
        <w:pStyle w:val="ListParagraph"/>
        <w:numPr>
          <w:ilvl w:val="0"/>
          <w:numId w:val="2"/>
        </w:numPr>
      </w:pPr>
      <w:r>
        <w:rPr>
          <w:rFonts w:ascii="Arial" w:cs="Arial" w:eastAsia="Arial" w:hAnsi="Arial"/>
          <w:color w:val="3A4A5A"/>
          <w:sz w:val="22"/>
          <w:szCs w:val="22"/>
        </w:rPr>
        <w:t xml:space="preserve">Labour Relations Act, 1995 (as amended) - Section 198A</w:t>
      </w:r>
    </w:p>
    <w:p>
      <w:pPr>
        <w:pStyle w:val="ListParagraph"/>
        <w:numPr>
          <w:ilvl w:val="0"/>
          <w:numId w:val="2"/>
        </w:numPr>
      </w:pPr>
      <w:r>
        <w:rPr>
          <w:rFonts w:ascii="Arial" w:cs="Arial" w:eastAsia="Arial" w:hAnsi="Arial"/>
          <w:color w:val="3A4A5A"/>
          <w:sz w:val="22"/>
          <w:szCs w:val="22"/>
        </w:rPr>
        <w:t xml:space="preserve">Basic Conditions of Employment Act, 1997</w:t>
      </w:r>
    </w:p>
    <w:p>
      <w:pPr>
        <w:pStyle w:val="ListParagraph"/>
        <w:numPr>
          <w:ilvl w:val="0"/>
          <w:numId w:val="2"/>
        </w:numPr>
      </w:pPr>
      <w:r>
        <w:rPr>
          <w:rFonts w:ascii="Arial" w:cs="Arial" w:eastAsia="Arial" w:hAnsi="Arial"/>
          <w:color w:val="3A4A5A"/>
          <w:sz w:val="22"/>
          <w:szCs w:val="22"/>
        </w:rPr>
        <w:t xml:space="preserve">Income Tax Act, 1962</w:t>
      </w:r>
    </w:p>
    <w:p>
      <w:pPr>
        <w:pStyle w:val="ListParagraph"/>
        <w:numPr>
          <w:ilvl w:val="0"/>
          <w:numId w:val="2"/>
        </w:numPr>
      </w:pPr>
      <w:r>
        <w:rPr>
          <w:rFonts w:ascii="Arial" w:cs="Arial" w:eastAsia="Arial" w:hAnsi="Arial"/>
          <w:color w:val="3A4A5A"/>
          <w:sz w:val="22"/>
          <w:szCs w:val="22"/>
        </w:rPr>
        <w:t xml:space="preserve">Protection of Personal Information Act, 2013 (POPIA)</w:t>
      </w:r>
    </w:p>
    <w:p>
      <w:pPr>
        <w:pStyle w:val="ListParagraph"/>
        <w:numPr>
          <w:ilvl w:val="0"/>
          <w:numId w:val="2"/>
        </w:numPr>
      </w:pPr>
      <w:r>
        <w:rPr>
          <w:rFonts w:ascii="Arial" w:cs="Arial" w:eastAsia="Arial" w:hAnsi="Arial"/>
          <w:color w:val="3A4A5A"/>
          <w:sz w:val="22"/>
          <w:szCs w:val="22"/>
        </w:rPr>
        <w:t xml:space="preserve">SARS Tax Registration and Compliance Requirements</w:t>
      </w:r>
    </w:p>
    <w:p>
      <w:pPr>
        <w:pStyle w:val="ListParagraph"/>
        <w:numPr>
          <w:ilvl w:val="0"/>
          <w:numId w:val="2"/>
        </w:numPr>
      </w:pPr>
      <w:r>
        <w:rPr>
          <w:rFonts w:ascii="Arial" w:cs="Arial" w:eastAsia="Arial" w:hAnsi="Arial"/>
          <w:color w:val="3A4A5A"/>
          <w:sz w:val="22"/>
          <w:szCs w:val="22"/>
        </w:rPr>
        <w:t xml:space="preserve">Broad-Based Black Economic Empowerment (B-BBEE) Amendments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39C954-6660-4640-A026-69DD1A52115D}"/>
</file>

<file path=customXml/itemProps2.xml><?xml version="1.0" encoding="utf-8"?>
<ds:datastoreItem xmlns:ds="http://schemas.openxmlformats.org/officeDocument/2006/customXml" ds:itemID="{2472F3BD-797C-435A-84D3-96FDABDE622B}"/>
</file>

<file path=customXml/itemProps3.xml><?xml version="1.0" encoding="utf-8"?>
<ds:datastoreItem xmlns:ds="http://schemas.openxmlformats.org/officeDocument/2006/customXml" ds:itemID="{400F5DB9-7A3D-4A75-B24F-7ADC165EF5A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2026-04-13T13:55:04Z</dcterms:created>
  <dcterms:modified xsi:type="dcterms:W3CDTF">2026-04-13T13:55:04Z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