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2F50" w:val="clear"/>
        <w:tabs>
          <w:tab w:val="right" w:pos="10466"/>
        </w:tabs>
        <w:spacing w:after="120" w:before="0"/>
      </w:pPr>
      <w:r>
        <w:rPr>
          <w:rFonts w:ascii="Arial" w:cs="Arial" w:eastAsia="Arial" w:hAnsi="Arial"/>
          <w:b w:val="false"/>
          <w:bCs w:val="false"/>
          <w:color w:val="A0BADE"/>
          <w:sz w:val="17"/>
          <w:szCs w:val="17"/>
        </w:rPr>
        <w:t xml:space="preserve">Version 2026  |  April 2026  |  Prepared by Jera Consulting (Pty) Ltd</w:t>
      </w:r>
      <w:r>
        <w:rPr>
          <w:rFonts w:ascii="Arial" w:cs="Arial" w:eastAsia="Arial" w:hAnsi="Arial"/>
          <w:b/>
          <w:bCs/>
          <w:color w:val="1B6FFF"/>
          <w:sz w:val="17"/>
          <w:szCs w:val="17"/>
        </w:rPr>
        <w:t xml:space="preserve">	JERA-POL-HR012</w:t>
      </w:r>
    </w:p>
    <w:p>
      <w:pPr>
        <w:pStyle w:val="Heading1"/>
      </w:pPr>
      <w:r>
        <w:t xml:space="preserve">Smoke-Free Workplace Policy</w:t>
      </w:r>
    </w:p>
    <w:p>
      <w:pPr>
        <w:spacing w:after="200" w:before="0"/>
        <w:jc w:val="center"/>
      </w:pPr>
      <w:r>
        <w:rPr>
          <w:rFonts w:ascii="Arial" w:cs="Arial" w:eastAsia="Arial" w:hAnsi="Arial"/>
          <w:color w:val="5A6A7A"/>
          <w:sz w:val="22"/>
          <w:szCs w:val="22"/>
        </w:rPr>
        <w:t xml:space="preserve">Jera Consulting (Pty) Ltd</w:t>
      </w:r>
    </w:p>
    <w:p>
      <w:pPr>
        <w:spacing w:after="200" w:before="12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16"/>
        <w:gridCol w:w="2617"/>
        <w:gridCol w:w="2617"/>
        <w:gridCol w:w="2616"/>
      </w:tblGrid>
      <w:tr>
        <w:tc>
          <w:tcPr>
            <w:tcW w:type="dxa" w:w="2616"/>
            <w:tcBorders>
              <w:top w:val="single" w:color="DDE1EA" w:sz="4"/>
              <w:left w:val="single" w:color="DDE1EA" w:sz="4"/>
              <w:bottom w:val="single" w:color="DDE1EA" w:sz="4"/>
              <w:right w:val="single" w:color="DDE1EA" w:sz="4"/>
            </w:tcBorders>
            <w:shd w:fill="1A2F50" w:val="clear"/>
            <w:tcMar>
              <w:top w:type="dxa" w:w="80"/>
              <w:left w:type="dxa" w:w="120"/>
              <w:bottom w:type="dxa" w:w="80"/>
              <w:right w:type="dxa" w:w="120"/>
            </w:tcMar>
          </w:tcPr>
          <w:p>
            <w:r>
              <w:rPr>
                <w:rFonts w:ascii="Arial" w:cs="Arial" w:eastAsia="Arial" w:hAnsi="Arial"/>
                <w:b/>
                <w:bCs/>
                <w:color w:val="FFFFFF"/>
                <w:sz w:val="18"/>
                <w:szCs w:val="18"/>
              </w:rPr>
              <w:t xml:space="preserve">Approval</w:t>
            </w:r>
          </w:p>
        </w:tc>
        <w:tc>
          <w:tcPr>
            <w:tcW w:type="dxa" w:w="2617"/>
            <w:tcBorders>
              <w:top w:val="single" w:color="DDE1EA" w:sz="4"/>
              <w:left w:val="single" w:color="DDE1EA" w:sz="4"/>
              <w:bottom w:val="single" w:color="DDE1EA" w:sz="4"/>
              <w:right w:val="single" w:color="DDE1EA" w:sz="4"/>
            </w:tcBorders>
            <w:shd w:fill="1A2F50" w:val="clear"/>
            <w:tcMar>
              <w:top w:type="dxa" w:w="80"/>
              <w:left w:type="dxa" w:w="120"/>
              <w:bottom w:type="dxa" w:w="80"/>
              <w:right w:type="dxa" w:w="120"/>
            </w:tcMar>
          </w:tcPr>
          <w:p>
            <w:r>
              <w:rPr>
                <w:rFonts w:ascii="Arial" w:cs="Arial" w:eastAsia="Arial" w:hAnsi="Arial"/>
                <w:b/>
                <w:bCs/>
                <w:color w:val="FFFFFF"/>
                <w:sz w:val="18"/>
                <w:szCs w:val="18"/>
              </w:rPr>
              <w:t xml:space="preserve">Department</w:t>
            </w:r>
          </w:p>
        </w:tc>
        <w:tc>
          <w:tcPr>
            <w:tcW w:type="dxa" w:w="2617"/>
            <w:tcBorders>
              <w:top w:val="single" w:color="DDE1EA" w:sz="4"/>
              <w:left w:val="single" w:color="DDE1EA" w:sz="4"/>
              <w:bottom w:val="single" w:color="DDE1EA" w:sz="4"/>
              <w:right w:val="single" w:color="DDE1EA" w:sz="4"/>
            </w:tcBorders>
            <w:shd w:fill="1A2F50" w:val="clear"/>
            <w:tcMar>
              <w:top w:type="dxa" w:w="80"/>
              <w:left w:type="dxa" w:w="120"/>
              <w:bottom w:type="dxa" w:w="80"/>
              <w:right w:type="dxa" w:w="120"/>
            </w:tcMar>
          </w:tcPr>
          <w:p>
            <w:r>
              <w:rPr>
                <w:rFonts w:ascii="Arial" w:cs="Arial" w:eastAsia="Arial" w:hAnsi="Arial"/>
                <w:b/>
                <w:bCs/>
                <w:color w:val="FFFFFF"/>
                <w:sz w:val="18"/>
                <w:szCs w:val="18"/>
              </w:rPr>
              <w:t xml:space="preserve">Job Title / Role</w:t>
            </w:r>
          </w:p>
        </w:tc>
        <w:tc>
          <w:tcPr>
            <w:tcW w:type="dxa" w:w="2616"/>
            <w:tcBorders>
              <w:top w:val="single" w:color="DDE1EA" w:sz="4"/>
              <w:left w:val="single" w:color="DDE1EA" w:sz="4"/>
              <w:bottom w:val="single" w:color="DDE1EA" w:sz="4"/>
              <w:right w:val="single" w:color="DDE1EA" w:sz="4"/>
            </w:tcBorders>
            <w:shd w:fill="1A2F50" w:val="clear"/>
            <w:tcMar>
              <w:top w:type="dxa" w:w="80"/>
              <w:left w:type="dxa" w:w="120"/>
              <w:bottom w:type="dxa" w:w="80"/>
              <w:right w:type="dxa" w:w="120"/>
            </w:tcMar>
          </w:tcPr>
          <w:p>
            <w:r>
              <w:rPr>
                <w:rFonts w:ascii="Arial" w:cs="Arial" w:eastAsia="Arial" w:hAnsi="Arial"/>
                <w:b/>
                <w:bCs/>
                <w:color w:val="FFFFFF"/>
                <w:sz w:val="18"/>
                <w:szCs w:val="18"/>
              </w:rPr>
              <w:t xml:space="preserve">Signature &amp; Date</w:t>
            </w:r>
          </w:p>
        </w:tc>
      </w:tr>
      <w:tr>
        <w:tc>
          <w:tcPr>
            <w:tcW w:type="dxa" w:w="26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b w:val="false"/>
                <w:bCs w:val="false"/>
                <w:color w:val="5A6A7A"/>
                <w:sz w:val="18"/>
                <w:szCs w:val="18"/>
              </w:rPr>
              <w:t xml:space="preserve">Document Owner</w:t>
            </w:r>
          </w:p>
        </w:tc>
        <w:tc>
          <w:tcPr>
            <w:tcW w:type="dxa" w:w="26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b w:val="false"/>
                <w:bCs w:val="false"/>
                <w:color w:val="3A4A5A"/>
                <w:sz w:val="18"/>
                <w:szCs w:val="18"/>
              </w:rPr>
              <w:t xml:space="preserve">Operations</w:t>
            </w:r>
          </w:p>
        </w:tc>
        <w:tc>
          <w:tcPr>
            <w:tcW w:type="dxa" w:w="26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b w:val="false"/>
                <w:bCs w:val="false"/>
                <w:color w:val="3A4A5A"/>
                <w:sz w:val="18"/>
                <w:szCs w:val="18"/>
              </w:rPr>
              <w:t xml:space="preserve">Managing Director</w:t>
            </w:r>
          </w:p>
        </w:tc>
        <w:tc>
          <w:tcPr>
            <w:tcW w:type="dxa" w:w="26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b w:val="false"/>
                <w:bCs w:val="false"/>
                <w:color w:val="3A4A5A"/>
                <w:sz w:val="18"/>
                <w:szCs w:val="18"/>
              </w:rPr>
              <w:t xml:space="preserve"/>
            </w:r>
          </w:p>
        </w:tc>
      </w:tr>
      <w:tr>
        <w:tc>
          <w:tcPr>
            <w:tcW w:type="dxa" w:w="2616"/>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b w:val="false"/>
                <w:bCs w:val="false"/>
                <w:color w:val="5A6A7A"/>
                <w:sz w:val="18"/>
                <w:szCs w:val="18"/>
              </w:rPr>
              <w:t xml:space="preserve">Approved by</w:t>
            </w:r>
          </w:p>
        </w:tc>
        <w:tc>
          <w:tcPr>
            <w:tcW w:type="dxa" w:w="2617"/>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b w:val="false"/>
                <w:bCs w:val="false"/>
                <w:color w:val="3A4A5A"/>
                <w:sz w:val="18"/>
                <w:szCs w:val="18"/>
              </w:rPr>
              <w:t xml:space="preserve">Management</w:t>
            </w:r>
          </w:p>
        </w:tc>
        <w:tc>
          <w:tcPr>
            <w:tcW w:type="dxa" w:w="2617"/>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b w:val="false"/>
                <w:bCs w:val="false"/>
                <w:color w:val="3A4A5A"/>
                <w:sz w:val="18"/>
                <w:szCs w:val="18"/>
              </w:rPr>
              <w:t xml:space="preserve">Managing Director</w:t>
            </w:r>
          </w:p>
        </w:tc>
        <w:tc>
          <w:tcPr>
            <w:tcW w:type="dxa" w:w="2616"/>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b w:val="false"/>
                <w:bCs w:val="false"/>
                <w:color w:val="3A4A5A"/>
                <w:sz w:val="18"/>
                <w:szCs w:val="18"/>
              </w:rPr>
              <w:t xml:space="preserve"/>
            </w:r>
          </w:p>
        </w:tc>
      </w:tr>
    </w:tbl>
    <w:p>
      <w:pPr>
        <w:spacing w:after="0" w:before="200"/>
      </w:pPr>
    </w:p>
    <w:p>
      <w:pPr>
        <w:pStyle w:val="Heading2"/>
      </w:pPr>
      <w:r>
        <w:t xml:space="preserve">1. Introduction</w:t>
      </w:r>
    </w:p>
    <w:p>
      <w:pPr>
        <w:spacing w:after="60" w:before="60"/>
      </w:pPr>
      <w:r>
        <w:rPr>
          <w:rFonts w:ascii="Arial" w:cs="Arial" w:eastAsia="Arial" w:hAnsi="Arial"/>
          <w:b w:val="false"/>
          <w:bCs w:val="false"/>
          <w:color w:val="3A4A5A"/>
          <w:sz w:val="22"/>
          <w:szCs w:val="22"/>
        </w:rPr>
        <w:t xml:space="preserve">Jera Consulting is committed to providing a healthy, safe, and productive working environment for all employees, clients, and visitors. This Smoke-Free Workplace Policy establishes clear guidelines for the prohibition of smoking and vaping in all company premises and work-related activities.</w:t>
      </w:r>
    </w:p>
    <w:p>
      <w:pPr>
        <w:pStyle w:val="Heading2"/>
      </w:pPr>
      <w:r>
        <w:t xml:space="preserve">2. Objective</w:t>
      </w:r>
    </w:p>
    <w:p>
      <w:pPr>
        <w:spacing w:after="60" w:before="60"/>
      </w:pPr>
      <w:r>
        <w:rPr>
          <w:rFonts w:ascii="Arial" w:cs="Arial" w:eastAsia="Arial" w:hAnsi="Arial"/>
          <w:b w:val="false"/>
          <w:bCs w:val="false"/>
          <w:color w:val="3A4A5A"/>
          <w:sz w:val="22"/>
          <w:szCs w:val="22"/>
        </w:rPr>
        <w:t xml:space="preserve">To:</w:t>
      </w:r>
    </w:p>
    <w:p>
      <w:pPr>
        <w:pStyle w:val="ListParagraph"/>
        <w:numPr>
          <w:ilvl w:val="0"/>
          <w:numId w:val="2"/>
        </w:numPr>
      </w:pPr>
      <w:r>
        <w:rPr>
          <w:rFonts w:ascii="Arial" w:cs="Arial" w:eastAsia="Arial" w:hAnsi="Arial"/>
          <w:color w:val="3A4A5A"/>
          <w:sz w:val="22"/>
          <w:szCs w:val="22"/>
        </w:rPr>
        <w:t xml:space="preserve">Protect the health and well-being of all individuals in the workplace by eliminating exposure to tobacco smoke and electronic vapours</w:t>
      </w:r>
    </w:p>
    <w:p>
      <w:pPr>
        <w:pStyle w:val="ListParagraph"/>
        <w:numPr>
          <w:ilvl w:val="0"/>
          <w:numId w:val="2"/>
        </w:numPr>
      </w:pPr>
      <w:r>
        <w:rPr>
          <w:rFonts w:ascii="Arial" w:cs="Arial" w:eastAsia="Arial" w:hAnsi="Arial"/>
          <w:color w:val="3A4A5A"/>
          <w:sz w:val="22"/>
          <w:szCs w:val="22"/>
        </w:rPr>
        <w:t xml:space="preserve">Comply with the Tobacco Products Control Act, 83 of 1993 (as amended) and the Control of Tobacco Products and Electronic Delivery Systems Bill (2018 onwards)</w:t>
      </w:r>
    </w:p>
    <w:p>
      <w:pPr>
        <w:pStyle w:val="ListParagraph"/>
        <w:numPr>
          <w:ilvl w:val="0"/>
          <w:numId w:val="2"/>
        </w:numPr>
      </w:pPr>
      <w:r>
        <w:rPr>
          <w:rFonts w:ascii="Arial" w:cs="Arial" w:eastAsia="Arial" w:hAnsi="Arial"/>
          <w:color w:val="3A4A5A"/>
          <w:sz w:val="22"/>
          <w:szCs w:val="22"/>
        </w:rPr>
        <w:t xml:space="preserve">Create a professional, clean working environment</w:t>
      </w:r>
    </w:p>
    <w:p>
      <w:pPr>
        <w:pStyle w:val="ListParagraph"/>
        <w:numPr>
          <w:ilvl w:val="0"/>
          <w:numId w:val="2"/>
        </w:numPr>
      </w:pPr>
      <w:r>
        <w:rPr>
          <w:rFonts w:ascii="Arial" w:cs="Arial" w:eastAsia="Arial" w:hAnsi="Arial"/>
          <w:color w:val="3A4A5A"/>
          <w:sz w:val="22"/>
          <w:szCs w:val="22"/>
        </w:rPr>
        <w:t xml:space="preserve">Support employees in reducing and quitting smoking</w:t>
      </w:r>
    </w:p>
    <w:p>
      <w:pPr>
        <w:pStyle w:val="ListParagraph"/>
        <w:numPr>
          <w:ilvl w:val="0"/>
          <w:numId w:val="2"/>
        </w:numPr>
      </w:pPr>
      <w:r>
        <w:rPr>
          <w:rFonts w:ascii="Arial" w:cs="Arial" w:eastAsia="Arial" w:hAnsi="Arial"/>
          <w:color w:val="3A4A5A"/>
          <w:sz w:val="22"/>
          <w:szCs w:val="22"/>
        </w:rPr>
        <w:t xml:space="preserve">Establish clear roles and responsibilities for policy enforcement</w:t>
      </w:r>
    </w:p>
    <w:p>
      <w:pPr>
        <w:pStyle w:val="Heading2"/>
      </w:pPr>
      <w:r>
        <w:t xml:space="preserve">3. Policy Statement</w:t>
      </w:r>
    </w:p>
    <w:p>
      <w:pPr>
        <w:spacing w:after="60" w:before="60"/>
      </w:pPr>
      <w:r>
        <w:rPr>
          <w:rFonts w:ascii="Arial" w:cs="Arial" w:eastAsia="Arial" w:hAnsi="Arial"/>
          <w:b w:val="false"/>
          <w:bCs w:val="false"/>
          <w:color w:val="3A4A5A"/>
          <w:sz w:val="22"/>
          <w:szCs w:val="22"/>
        </w:rPr>
        <w:t xml:space="preserve">Smoking, the use of e-cigarettes, vaping devices, and heated tobacco products are strictly prohibited in all company premises, vehicles, and during all work-related activities, including:</w:t>
      </w:r>
    </w:p>
    <w:p>
      <w:pPr>
        <w:pStyle w:val="ListParagraph"/>
        <w:numPr>
          <w:ilvl w:val="0"/>
          <w:numId w:val="2"/>
        </w:numPr>
      </w:pPr>
      <w:r>
        <w:rPr>
          <w:rFonts w:ascii="Arial" w:cs="Arial" w:eastAsia="Arial" w:hAnsi="Arial"/>
          <w:color w:val="3A4A5A"/>
          <w:sz w:val="22"/>
          <w:szCs w:val="22"/>
        </w:rPr>
        <w:t xml:space="preserve">All offices, meeting rooms, corridors, stairwells, and common areas</w:t>
      </w:r>
    </w:p>
    <w:p>
      <w:pPr>
        <w:pStyle w:val="ListParagraph"/>
        <w:numPr>
          <w:ilvl w:val="0"/>
          <w:numId w:val="2"/>
        </w:numPr>
      </w:pPr>
      <w:r>
        <w:rPr>
          <w:rFonts w:ascii="Arial" w:cs="Arial" w:eastAsia="Arial" w:hAnsi="Arial"/>
          <w:color w:val="3A4A5A"/>
          <w:sz w:val="22"/>
          <w:szCs w:val="22"/>
        </w:rPr>
        <w:t xml:space="preserve">Company vehicles and site visit locations</w:t>
      </w:r>
    </w:p>
    <w:p>
      <w:pPr>
        <w:pStyle w:val="ListParagraph"/>
        <w:numPr>
          <w:ilvl w:val="0"/>
          <w:numId w:val="2"/>
        </w:numPr>
      </w:pPr>
      <w:r>
        <w:rPr>
          <w:rFonts w:ascii="Arial" w:cs="Arial" w:eastAsia="Arial" w:hAnsi="Arial"/>
          <w:color w:val="3A4A5A"/>
          <w:sz w:val="22"/>
          <w:szCs w:val="22"/>
        </w:rPr>
        <w:t xml:space="preserve">Virtual and online meetings where employees represent the company</w:t>
      </w:r>
    </w:p>
    <w:p>
      <w:pPr>
        <w:pStyle w:val="ListParagraph"/>
        <w:numPr>
          <w:ilvl w:val="0"/>
          <w:numId w:val="2"/>
        </w:numPr>
      </w:pPr>
      <w:r>
        <w:rPr>
          <w:rFonts w:ascii="Arial" w:cs="Arial" w:eastAsia="Arial" w:hAnsi="Arial"/>
          <w:color w:val="3A4A5A"/>
          <w:sz w:val="22"/>
          <w:szCs w:val="22"/>
        </w:rPr>
        <w:t xml:space="preserve">Client facilities while on company business</w:t>
      </w:r>
    </w:p>
    <w:p>
      <w:pPr>
        <w:pStyle w:val="ListParagraph"/>
        <w:numPr>
          <w:ilvl w:val="0"/>
          <w:numId w:val="2"/>
        </w:numPr>
      </w:pPr>
      <w:r>
        <w:rPr>
          <w:rFonts w:ascii="Arial" w:cs="Arial" w:eastAsia="Arial" w:hAnsi="Arial"/>
          <w:color w:val="3A4A5A"/>
          <w:sz w:val="22"/>
          <w:szCs w:val="22"/>
        </w:rPr>
        <w:t xml:space="preserve">Parking areas and building entrances</w:t>
      </w:r>
    </w:p>
    <w:p>
      <w:pPr>
        <w:spacing w:after="60" w:before="60"/>
      </w:pPr>
      <w:r>
        <w:rPr>
          <w:rFonts w:ascii="Arial" w:cs="Arial" w:eastAsia="Arial" w:hAnsi="Arial"/>
          <w:b w:val="false"/>
          <w:bCs w:val="false"/>
          <w:color w:val="3A4A5A"/>
          <w:sz w:val="22"/>
          <w:szCs w:val="22"/>
        </w:rPr>
        <w:t xml:space="preserve">This total ban applies to all employees, contractors, vendors, clients, and visitors, with no exceptions for designated smoking areas within company premises.</w:t>
      </w:r>
    </w:p>
    <w:p>
      <w:pPr>
        <w:pStyle w:val="Heading2"/>
      </w:pPr>
      <w:r>
        <w:t xml:space="preserve">4. Normative References and Legislation</w:t>
      </w:r>
    </w:p>
    <w:p>
      <w:pPr>
        <w:spacing w:after="60" w:before="60"/>
      </w:pPr>
      <w:r>
        <w:rPr>
          <w:rFonts w:ascii="Arial" w:cs="Arial" w:eastAsia="Arial" w:hAnsi="Arial"/>
          <w:b w:val="false"/>
          <w:bCs w:val="false"/>
          <w:color w:val="3A4A5A"/>
          <w:sz w:val="22"/>
          <w:szCs w:val="22"/>
        </w:rPr>
        <w:t xml:space="preserve">This policy is based on and complies with:</w:t>
      </w:r>
    </w:p>
    <w:p>
      <w:pPr>
        <w:pStyle w:val="ListParagraph"/>
        <w:numPr>
          <w:ilvl w:val="0"/>
          <w:numId w:val="2"/>
        </w:numPr>
      </w:pPr>
      <w:r>
        <w:rPr>
          <w:rFonts w:ascii="Arial" w:cs="Arial" w:eastAsia="Arial" w:hAnsi="Arial"/>
          <w:color w:val="3A4A5A"/>
          <w:sz w:val="22"/>
          <w:szCs w:val="22"/>
        </w:rPr>
        <w:t xml:space="preserve">The Tobacco Products Control Act, 83 of 1993 (as amended)</w:t>
      </w:r>
    </w:p>
    <w:p>
      <w:pPr>
        <w:pStyle w:val="ListParagraph"/>
        <w:numPr>
          <w:ilvl w:val="0"/>
          <w:numId w:val="2"/>
        </w:numPr>
      </w:pPr>
      <w:r>
        <w:rPr>
          <w:rFonts w:ascii="Arial" w:cs="Arial" w:eastAsia="Arial" w:hAnsi="Arial"/>
          <w:color w:val="3A4A5A"/>
          <w:sz w:val="22"/>
          <w:szCs w:val="22"/>
        </w:rPr>
        <w:t xml:space="preserve">The Control of Tobacco Products and Electronic Delivery Systems Bill (2018 onwards)</w:t>
      </w:r>
    </w:p>
    <w:p>
      <w:pPr>
        <w:pStyle w:val="ListParagraph"/>
        <w:numPr>
          <w:ilvl w:val="0"/>
          <w:numId w:val="2"/>
        </w:numPr>
      </w:pPr>
      <w:r>
        <w:rPr>
          <w:rFonts w:ascii="Arial" w:cs="Arial" w:eastAsia="Arial" w:hAnsi="Arial"/>
          <w:color w:val="3A4A5A"/>
          <w:sz w:val="22"/>
          <w:szCs w:val="22"/>
        </w:rPr>
        <w:t xml:space="preserve">The Occupational Health and Safety Act, 85 of 1993</w:t>
      </w:r>
    </w:p>
    <w:p>
      <w:pPr>
        <w:pStyle w:val="ListParagraph"/>
        <w:numPr>
          <w:ilvl w:val="0"/>
          <w:numId w:val="2"/>
        </w:numPr>
      </w:pPr>
      <w:r>
        <w:rPr>
          <w:rFonts w:ascii="Arial" w:cs="Arial" w:eastAsia="Arial" w:hAnsi="Arial"/>
          <w:color w:val="3A4A5A"/>
          <w:sz w:val="22"/>
          <w:szCs w:val="22"/>
        </w:rPr>
        <w:t xml:space="preserve">Common law duties to protect employees from harm</w:t>
      </w:r>
    </w:p>
    <w:p>
      <w:pPr>
        <w:pStyle w:val="ListParagraph"/>
        <w:numPr>
          <w:ilvl w:val="0"/>
          <w:numId w:val="2"/>
        </w:numPr>
      </w:pPr>
      <w:r>
        <w:rPr>
          <w:rFonts w:ascii="Arial" w:cs="Arial" w:eastAsia="Arial" w:hAnsi="Arial"/>
          <w:color w:val="3A4A5A"/>
          <w:sz w:val="22"/>
          <w:szCs w:val="22"/>
        </w:rPr>
        <w:t xml:space="preserve">Relevant provincial and local by-laws regulating smoking in workplaces</w:t>
      </w:r>
    </w:p>
    <w:p>
      <w:pPr>
        <w:pStyle w:val="Heading2"/>
      </w:pPr>
      <w:r>
        <w:t xml:space="preserve">5. Definitions</w:t>
      </w:r>
    </w:p>
    <w:p>
      <w:pPr>
        <w:pStyle w:val="Heading3"/>
      </w:pPr>
      <w:r>
        <w:t xml:space="preserve">5.1 Smoking</w:t>
      </w:r>
    </w:p>
    <w:p>
      <w:pPr>
        <w:spacing w:after="60" w:before="60"/>
      </w:pPr>
      <w:r>
        <w:rPr>
          <w:rFonts w:ascii="Arial" w:cs="Arial" w:eastAsia="Arial" w:hAnsi="Arial"/>
          <w:b w:val="false"/>
          <w:bCs w:val="false"/>
          <w:color w:val="3A4A5A"/>
          <w:sz w:val="22"/>
          <w:szCs w:val="22"/>
        </w:rPr>
        <w:t xml:space="preserve">The act of smoking, holding, or otherwise consuming any tobacco product in any form, including cigarettes, cigars, and pipe tobacco.</w:t>
      </w:r>
    </w:p>
    <w:p>
      <w:pPr>
        <w:pStyle w:val="Heading3"/>
      </w:pPr>
      <w:r>
        <w:t xml:space="preserve">5.2 E-Cigarettes and Vaping</w:t>
      </w:r>
    </w:p>
    <w:p>
      <w:pPr>
        <w:spacing w:after="60" w:before="60"/>
      </w:pPr>
      <w:r>
        <w:rPr>
          <w:rFonts w:ascii="Arial" w:cs="Arial" w:eastAsia="Arial" w:hAnsi="Arial"/>
          <w:b w:val="false"/>
          <w:bCs w:val="false"/>
          <w:color w:val="3A4A5A"/>
          <w:sz w:val="22"/>
          <w:szCs w:val="22"/>
        </w:rPr>
        <w:t xml:space="preserve">The inhalation and exhalation of vapour from electronic nicotine delivery systems (ENDS), electronic non-nicotine delivery systems (ENNDS), and any similar device designed to aerosolise and deliver substances for inhalation, including e-cigarettes, vape pens, and pod-based systems.</w:t>
      </w:r>
    </w:p>
    <w:p>
      <w:pPr>
        <w:pStyle w:val="Heading3"/>
      </w:pPr>
      <w:r>
        <w:t xml:space="preserve">5.3 Heated Tobacco Products</w:t>
      </w:r>
    </w:p>
    <w:p>
      <w:pPr>
        <w:spacing w:after="60" w:before="60"/>
      </w:pPr>
      <w:r>
        <w:rPr>
          <w:rFonts w:ascii="Arial" w:cs="Arial" w:eastAsia="Arial" w:hAnsi="Arial"/>
          <w:b w:val="false"/>
          <w:bCs w:val="false"/>
          <w:color w:val="3A4A5A"/>
          <w:sz w:val="22"/>
          <w:szCs w:val="22"/>
        </w:rPr>
        <w:t xml:space="preserve">Tobacco products heated to a temperature below combustion, including heat-not-burn devices, which produce an aerosol containing nicotine and other substances.</w:t>
      </w:r>
    </w:p>
    <w:p>
      <w:pPr>
        <w:pStyle w:val="Heading3"/>
      </w:pPr>
      <w:r>
        <w:t xml:space="preserve">5.4 Workplace</w:t>
      </w:r>
    </w:p>
    <w:p>
      <w:pPr>
        <w:spacing w:after="60" w:before="60"/>
      </w:pPr>
      <w:r>
        <w:rPr>
          <w:rFonts w:ascii="Arial" w:cs="Arial" w:eastAsia="Arial" w:hAnsi="Arial"/>
          <w:b w:val="false"/>
          <w:bCs w:val="false"/>
          <w:color w:val="3A4A5A"/>
          <w:sz w:val="22"/>
          <w:szCs w:val="22"/>
        </w:rPr>
        <w:t xml:space="preserve">All locations where employees conduct work on behalf of Jera Consulting, including offices, remote work sites, client premises, vehicles, and virtual work environments.</w:t>
      </w:r>
    </w:p>
    <w:p>
      <w:pPr>
        <w:pStyle w:val="Heading2"/>
      </w:pPr>
      <w:r>
        <w:t xml:space="preserve">6. Designated Outdoor Smoking Areas</w:t>
      </w:r>
    </w:p>
    <w:p>
      <w:pPr>
        <w:spacing w:after="60" w:before="60"/>
      </w:pPr>
      <w:r>
        <w:rPr>
          <w:rFonts w:ascii="Arial" w:cs="Arial" w:eastAsia="Arial" w:hAnsi="Arial"/>
          <w:b w:val="false"/>
          <w:bCs w:val="false"/>
          <w:color w:val="3A4A5A"/>
          <w:sz w:val="22"/>
          <w:szCs w:val="22"/>
        </w:rPr>
        <w:t xml:space="preserve">Although smoking is prohibited in all company premises, Jera Consulting recognises that employees may wish to smoke during personal break time. A designated outdoor smoking area may be established at the discretion of management, subject to the following conditions:</w:t>
      </w:r>
    </w:p>
    <w:p>
      <w:pPr>
        <w:pStyle w:val="ListParagraph"/>
        <w:numPr>
          <w:ilvl w:val="0"/>
          <w:numId w:val="2"/>
        </w:numPr>
      </w:pPr>
      <w:r>
        <w:rPr>
          <w:rFonts w:ascii="Arial" w:cs="Arial" w:eastAsia="Arial" w:hAnsi="Arial"/>
          <w:color w:val="3A4A5A"/>
          <w:sz w:val="22"/>
          <w:szCs w:val="22"/>
        </w:rPr>
        <w:t xml:space="preserve">The area shall be situated at least 8 metres away from building entrances, windows, and ventilation outlets</w:t>
      </w:r>
    </w:p>
    <w:p>
      <w:pPr>
        <w:pStyle w:val="ListParagraph"/>
        <w:numPr>
          <w:ilvl w:val="0"/>
          <w:numId w:val="2"/>
        </w:numPr>
      </w:pPr>
      <w:r>
        <w:rPr>
          <w:rFonts w:ascii="Arial" w:cs="Arial" w:eastAsia="Arial" w:hAnsi="Arial"/>
          <w:color w:val="3A4A5A"/>
          <w:sz w:val="22"/>
          <w:szCs w:val="22"/>
        </w:rPr>
        <w:t xml:space="preserve">The area shall not be accessible to non-smokers or those wishing to avoid smoke exposure</w:t>
      </w:r>
    </w:p>
    <w:p>
      <w:pPr>
        <w:pStyle w:val="ListParagraph"/>
        <w:numPr>
          <w:ilvl w:val="0"/>
          <w:numId w:val="2"/>
        </w:numPr>
      </w:pPr>
      <w:r>
        <w:rPr>
          <w:rFonts w:ascii="Arial" w:cs="Arial" w:eastAsia="Arial" w:hAnsi="Arial"/>
          <w:color w:val="3A4A5A"/>
          <w:sz w:val="22"/>
          <w:szCs w:val="22"/>
        </w:rPr>
        <w:t xml:space="preserve">Smoking shall be restricted to designated breaks and shall not interfere with work duties or productivity</w:t>
      </w:r>
    </w:p>
    <w:p>
      <w:pPr>
        <w:pStyle w:val="ListParagraph"/>
        <w:numPr>
          <w:ilvl w:val="0"/>
          <w:numId w:val="2"/>
        </w:numPr>
      </w:pPr>
      <w:r>
        <w:rPr>
          <w:rFonts w:ascii="Arial" w:cs="Arial" w:eastAsia="Arial" w:hAnsi="Arial"/>
          <w:color w:val="3A4A5A"/>
          <w:sz w:val="22"/>
          <w:szCs w:val="22"/>
        </w:rPr>
        <w:t xml:space="preserve">Smokers are responsible for removing and properly disposing of cigarette butts and related waste</w:t>
      </w:r>
    </w:p>
    <w:p>
      <w:pPr>
        <w:pStyle w:val="ListParagraph"/>
        <w:numPr>
          <w:ilvl w:val="0"/>
          <w:numId w:val="2"/>
        </w:numPr>
      </w:pPr>
      <w:r>
        <w:rPr>
          <w:rFonts w:ascii="Arial" w:cs="Arial" w:eastAsia="Arial" w:hAnsi="Arial"/>
          <w:color w:val="3A4A5A"/>
          <w:sz w:val="22"/>
          <w:szCs w:val="22"/>
        </w:rPr>
        <w:t xml:space="preserve">Outdoor smoking areas must comply with all local municipal and provincial by-laws</w:t>
      </w:r>
    </w:p>
    <w:p>
      <w:pPr>
        <w:pStyle w:val="Heading2"/>
      </w:pPr>
      <w:r>
        <w:t xml:space="preserve">7. Information, Education, and Support</w:t>
      </w:r>
    </w:p>
    <w:p>
      <w:pPr>
        <w:pStyle w:val="Heading3"/>
      </w:pPr>
      <w:r>
        <w:t xml:space="preserve">7.1 Employee Communication</w:t>
      </w:r>
    </w:p>
    <w:p>
      <w:pPr>
        <w:spacing w:after="60" w:before="60"/>
      </w:pPr>
      <w:r>
        <w:rPr>
          <w:rFonts w:ascii="Arial" w:cs="Arial" w:eastAsia="Arial" w:hAnsi="Arial"/>
          <w:b w:val="false"/>
          <w:bCs w:val="false"/>
          <w:color w:val="3A4A5A"/>
          <w:sz w:val="22"/>
          <w:szCs w:val="22"/>
        </w:rPr>
        <w:t xml:space="preserve">Jera Consulting will:</w:t>
      </w:r>
    </w:p>
    <w:p>
      <w:pPr>
        <w:pStyle w:val="ListParagraph"/>
        <w:numPr>
          <w:ilvl w:val="0"/>
          <w:numId w:val="2"/>
        </w:numPr>
      </w:pPr>
      <w:r>
        <w:rPr>
          <w:rFonts w:ascii="Arial" w:cs="Arial" w:eastAsia="Arial" w:hAnsi="Arial"/>
          <w:color w:val="3A4A5A"/>
          <w:sz w:val="22"/>
          <w:szCs w:val="22"/>
        </w:rPr>
        <w:t xml:space="preserve">Communicate this policy to all employees during onboarding</w:t>
      </w:r>
    </w:p>
    <w:p>
      <w:pPr>
        <w:pStyle w:val="ListParagraph"/>
        <w:numPr>
          <w:ilvl w:val="0"/>
          <w:numId w:val="2"/>
        </w:numPr>
      </w:pPr>
      <w:r>
        <w:rPr>
          <w:rFonts w:ascii="Arial" w:cs="Arial" w:eastAsia="Arial" w:hAnsi="Arial"/>
          <w:color w:val="3A4A5A"/>
          <w:sz w:val="22"/>
          <w:szCs w:val="22"/>
        </w:rPr>
        <w:t xml:space="preserve">Provide printed copies of the policy in the office and make it available on the company intranet</w:t>
      </w:r>
    </w:p>
    <w:p>
      <w:pPr>
        <w:pStyle w:val="ListParagraph"/>
        <w:numPr>
          <w:ilvl w:val="0"/>
          <w:numId w:val="2"/>
        </w:numPr>
      </w:pPr>
      <w:r>
        <w:rPr>
          <w:rFonts w:ascii="Arial" w:cs="Arial" w:eastAsia="Arial" w:hAnsi="Arial"/>
          <w:color w:val="3A4A5A"/>
          <w:sz w:val="22"/>
          <w:szCs w:val="22"/>
        </w:rPr>
        <w:t xml:space="preserve">Display prominent signage indicating the smoke-free workplace policy</w:t>
      </w:r>
    </w:p>
    <w:p>
      <w:pPr>
        <w:pStyle w:val="ListParagraph"/>
        <w:numPr>
          <w:ilvl w:val="0"/>
          <w:numId w:val="2"/>
        </w:numPr>
      </w:pPr>
      <w:r>
        <w:rPr>
          <w:rFonts w:ascii="Arial" w:cs="Arial" w:eastAsia="Arial" w:hAnsi="Arial"/>
          <w:color w:val="3A4A5A"/>
          <w:sz w:val="22"/>
          <w:szCs w:val="22"/>
        </w:rPr>
        <w:t xml:space="preserve">Conduct awareness campaigns highlighting the health benefits of a smoke-free environment</w:t>
      </w:r>
    </w:p>
    <w:p>
      <w:pPr>
        <w:pStyle w:val="Heading3"/>
      </w:pPr>
      <w:r>
        <w:t xml:space="preserve">7.2 Health Information</w:t>
      </w:r>
    </w:p>
    <w:p>
      <w:pPr>
        <w:spacing w:after="60" w:before="60"/>
      </w:pPr>
      <w:r>
        <w:rPr>
          <w:rFonts w:ascii="Arial" w:cs="Arial" w:eastAsia="Arial" w:hAnsi="Arial"/>
          <w:b w:val="false"/>
          <w:bCs w:val="false"/>
          <w:color w:val="3A4A5A"/>
          <w:sz w:val="22"/>
          <w:szCs w:val="22"/>
        </w:rPr>
        <w:t xml:space="preserve">The company will provide information on:</w:t>
      </w:r>
    </w:p>
    <w:p>
      <w:pPr>
        <w:pStyle w:val="ListParagraph"/>
        <w:numPr>
          <w:ilvl w:val="0"/>
          <w:numId w:val="2"/>
        </w:numPr>
      </w:pPr>
      <w:r>
        <w:rPr>
          <w:rFonts w:ascii="Arial" w:cs="Arial" w:eastAsia="Arial" w:hAnsi="Arial"/>
          <w:color w:val="3A4A5A"/>
          <w:sz w:val="22"/>
          <w:szCs w:val="22"/>
        </w:rPr>
        <w:t xml:space="preserve">The health risks of smoking, secondhand smoke, and vaping</w:t>
      </w:r>
    </w:p>
    <w:p>
      <w:pPr>
        <w:pStyle w:val="ListParagraph"/>
        <w:numPr>
          <w:ilvl w:val="0"/>
          <w:numId w:val="2"/>
        </w:numPr>
      </w:pPr>
      <w:r>
        <w:rPr>
          <w:rFonts w:ascii="Arial" w:cs="Arial" w:eastAsia="Arial" w:hAnsi="Arial"/>
          <w:color w:val="3A4A5A"/>
          <w:sz w:val="22"/>
          <w:szCs w:val="22"/>
        </w:rPr>
        <w:t xml:space="preserve">The link between smoking and workplace accidents</w:t>
      </w:r>
    </w:p>
    <w:p>
      <w:pPr>
        <w:pStyle w:val="ListParagraph"/>
        <w:numPr>
          <w:ilvl w:val="0"/>
          <w:numId w:val="2"/>
        </w:numPr>
      </w:pPr>
      <w:r>
        <w:rPr>
          <w:rFonts w:ascii="Arial" w:cs="Arial" w:eastAsia="Arial" w:hAnsi="Arial"/>
          <w:color w:val="3A4A5A"/>
          <w:sz w:val="22"/>
          <w:szCs w:val="22"/>
        </w:rPr>
        <w:t xml:space="preserve">The benefits of quitting smoking for personal health and family well-being</w:t>
      </w:r>
    </w:p>
    <w:p>
      <w:pPr>
        <w:pStyle w:val="Heading3"/>
      </w:pPr>
      <w:r>
        <w:t xml:space="preserve">7.3 Smoking Cessation Support</w:t>
      </w:r>
    </w:p>
    <w:p>
      <w:pPr>
        <w:spacing w:after="60" w:before="60"/>
      </w:pPr>
      <w:r>
        <w:rPr>
          <w:rFonts w:ascii="Arial" w:cs="Arial" w:eastAsia="Arial" w:hAnsi="Arial"/>
          <w:b w:val="false"/>
          <w:bCs w:val="false"/>
          <w:color w:val="3A4A5A"/>
          <w:sz w:val="22"/>
          <w:szCs w:val="22"/>
        </w:rPr>
        <w:t xml:space="preserve">Jera Consulting is committed to supporting employees who wish to quit smoking. Support available includes:</w:t>
      </w:r>
    </w:p>
    <w:p>
      <w:pPr>
        <w:pStyle w:val="ListParagraph"/>
        <w:numPr>
          <w:ilvl w:val="0"/>
          <w:numId w:val="2"/>
        </w:numPr>
      </w:pPr>
      <w:r>
        <w:rPr>
          <w:rFonts w:ascii="Arial" w:cs="Arial" w:eastAsia="Arial" w:hAnsi="Arial"/>
          <w:color w:val="3A4A5A"/>
          <w:sz w:val="22"/>
          <w:szCs w:val="22"/>
        </w:rPr>
        <w:t xml:space="preserve">Access to Employee Assistance Programme (EAP) counselling and cessation programs</w:t>
      </w:r>
    </w:p>
    <w:p>
      <w:pPr>
        <w:pStyle w:val="ListParagraph"/>
        <w:numPr>
          <w:ilvl w:val="0"/>
          <w:numId w:val="2"/>
        </w:numPr>
      </w:pPr>
      <w:r>
        <w:rPr>
          <w:rFonts w:ascii="Arial" w:cs="Arial" w:eastAsia="Arial" w:hAnsi="Arial"/>
          <w:color w:val="3A4A5A"/>
          <w:sz w:val="22"/>
          <w:szCs w:val="22"/>
        </w:rPr>
        <w:t xml:space="preserve">Information about nicotine replacement therapy options</w:t>
      </w:r>
    </w:p>
    <w:p>
      <w:pPr>
        <w:pStyle w:val="ListParagraph"/>
        <w:numPr>
          <w:ilvl w:val="0"/>
          <w:numId w:val="2"/>
        </w:numPr>
      </w:pPr>
      <w:r>
        <w:rPr>
          <w:rFonts w:ascii="Arial" w:cs="Arial" w:eastAsia="Arial" w:hAnsi="Arial"/>
          <w:color w:val="3A4A5A"/>
          <w:sz w:val="22"/>
          <w:szCs w:val="22"/>
        </w:rPr>
        <w:t xml:space="preserve">Referrals to external smoking cessation clinics and support groups</w:t>
      </w:r>
    </w:p>
    <w:p>
      <w:pPr>
        <w:pStyle w:val="ListParagraph"/>
        <w:numPr>
          <w:ilvl w:val="0"/>
          <w:numId w:val="2"/>
        </w:numPr>
      </w:pPr>
      <w:r>
        <w:rPr>
          <w:rFonts w:ascii="Arial" w:cs="Arial" w:eastAsia="Arial" w:hAnsi="Arial"/>
          <w:color w:val="3A4A5A"/>
          <w:sz w:val="22"/>
          <w:szCs w:val="22"/>
        </w:rPr>
        <w:t xml:space="preserve">Flexibility in work arrangements to support cessation attempts</w:t>
      </w:r>
    </w:p>
    <w:p>
      <w:pPr>
        <w:pStyle w:val="ListParagraph"/>
        <w:numPr>
          <w:ilvl w:val="0"/>
          <w:numId w:val="2"/>
        </w:numPr>
      </w:pPr>
      <w:r>
        <w:rPr>
          <w:rFonts w:ascii="Arial" w:cs="Arial" w:eastAsia="Arial" w:hAnsi="Arial"/>
          <w:color w:val="3A4A5A"/>
          <w:sz w:val="22"/>
          <w:szCs w:val="22"/>
        </w:rPr>
        <w:t xml:space="preserve">Confidential support without judgment</w:t>
      </w:r>
    </w:p>
    <w:p>
      <w:pPr>
        <w:pStyle w:val="Heading2"/>
      </w:pPr>
      <w:r>
        <w:t xml:space="preserve">8. Visitor and Contractor Policy</w:t>
      </w:r>
    </w:p>
    <w:p>
      <w:pPr>
        <w:spacing w:after="60" w:before="60"/>
      </w:pPr>
      <w:r>
        <w:rPr>
          <w:rFonts w:ascii="Arial" w:cs="Arial" w:eastAsia="Arial" w:hAnsi="Arial"/>
          <w:b w:val="false"/>
          <w:bCs w:val="false"/>
          <w:color w:val="3A4A5A"/>
          <w:sz w:val="22"/>
          <w:szCs w:val="22"/>
        </w:rPr>
        <w:t xml:space="preserve">All visitors, contractors, and external service providers are subject to this smoke-free workplace policy. Upon arrival, all parties will be informed of the policy. Violations by contractors or vendors may result in contract termination or non-renewal.</w:t>
      </w:r>
    </w:p>
    <w:p>
      <w:pPr>
        <w:pStyle w:val="Heading2"/>
      </w:pPr>
      <w:r>
        <w:t xml:space="preserve">9. Responsibilities</w:t>
      </w:r>
    </w:p>
    <w:p>
      <w:pPr>
        <w:pStyle w:val="Heading3"/>
      </w:pPr>
      <w:r>
        <w:t xml:space="preserve">9.1 Employer Responsibilities (Jera Consulting)</w:t>
      </w:r>
    </w:p>
    <w:p>
      <w:pPr>
        <w:spacing w:after="60" w:before="60"/>
      </w:pPr>
      <w:r>
        <w:rPr>
          <w:rFonts w:ascii="Arial" w:cs="Arial" w:eastAsia="Arial" w:hAnsi="Arial"/>
          <w:b w:val="false"/>
          <w:bCs w:val="false"/>
          <w:color w:val="3A4A5A"/>
          <w:sz w:val="22"/>
          <w:szCs w:val="22"/>
        </w:rPr>
        <w:t xml:space="preserve">Jera Consulting is responsible for:</w:t>
      </w:r>
    </w:p>
    <w:p>
      <w:pPr>
        <w:pStyle w:val="ListParagraph"/>
        <w:numPr>
          <w:ilvl w:val="0"/>
          <w:numId w:val="2"/>
        </w:numPr>
      </w:pPr>
      <w:r>
        <w:rPr>
          <w:rFonts w:ascii="Arial" w:cs="Arial" w:eastAsia="Arial" w:hAnsi="Arial"/>
          <w:color w:val="3A4A5A"/>
          <w:sz w:val="22"/>
          <w:szCs w:val="22"/>
        </w:rPr>
        <w:t xml:space="preserve">Implementing and communicating the policy to all stakeholders</w:t>
      </w:r>
    </w:p>
    <w:p>
      <w:pPr>
        <w:pStyle w:val="ListParagraph"/>
        <w:numPr>
          <w:ilvl w:val="0"/>
          <w:numId w:val="2"/>
        </w:numPr>
      </w:pPr>
      <w:r>
        <w:rPr>
          <w:rFonts w:ascii="Arial" w:cs="Arial" w:eastAsia="Arial" w:hAnsi="Arial"/>
          <w:color w:val="3A4A5A"/>
          <w:sz w:val="22"/>
          <w:szCs w:val="22"/>
        </w:rPr>
        <w:t xml:space="preserve">Ensuring all premises and vehicles comply with smoke-free requirements</w:t>
      </w:r>
    </w:p>
    <w:p>
      <w:pPr>
        <w:pStyle w:val="ListParagraph"/>
        <w:numPr>
          <w:ilvl w:val="0"/>
          <w:numId w:val="2"/>
        </w:numPr>
      </w:pPr>
      <w:r>
        <w:rPr>
          <w:rFonts w:ascii="Arial" w:cs="Arial" w:eastAsia="Arial" w:hAnsi="Arial"/>
          <w:color w:val="3A4A5A"/>
          <w:sz w:val="22"/>
          <w:szCs w:val="22"/>
        </w:rPr>
        <w:t xml:space="preserve">Monitoring and enforcing compliance through fair and consistent application</w:t>
      </w:r>
    </w:p>
    <w:p>
      <w:pPr>
        <w:pStyle w:val="ListParagraph"/>
        <w:numPr>
          <w:ilvl w:val="0"/>
          <w:numId w:val="2"/>
        </w:numPr>
      </w:pPr>
      <w:r>
        <w:rPr>
          <w:rFonts w:ascii="Arial" w:cs="Arial" w:eastAsia="Arial" w:hAnsi="Arial"/>
          <w:color w:val="3A4A5A"/>
          <w:sz w:val="22"/>
          <w:szCs w:val="22"/>
        </w:rPr>
        <w:t xml:space="preserve">Providing cessation support and resources to employees</w:t>
      </w:r>
    </w:p>
    <w:p>
      <w:pPr>
        <w:pStyle w:val="ListParagraph"/>
        <w:numPr>
          <w:ilvl w:val="0"/>
          <w:numId w:val="2"/>
        </w:numPr>
      </w:pPr>
      <w:r>
        <w:rPr>
          <w:rFonts w:ascii="Arial" w:cs="Arial" w:eastAsia="Arial" w:hAnsi="Arial"/>
          <w:color w:val="3A4A5A"/>
          <w:sz w:val="22"/>
          <w:szCs w:val="22"/>
        </w:rPr>
        <w:t xml:space="preserve">Addressing violations promptly and fairly</w:t>
      </w:r>
    </w:p>
    <w:p>
      <w:pPr>
        <w:pStyle w:val="ListParagraph"/>
        <w:numPr>
          <w:ilvl w:val="0"/>
          <w:numId w:val="2"/>
        </w:numPr>
      </w:pPr>
      <w:r>
        <w:rPr>
          <w:rFonts w:ascii="Arial" w:cs="Arial" w:eastAsia="Arial" w:hAnsi="Arial"/>
          <w:color w:val="3A4A5A"/>
          <w:sz w:val="22"/>
          <w:szCs w:val="22"/>
        </w:rPr>
        <w:t xml:space="preserve">Maintaining a healthy and safe workplace</w:t>
      </w:r>
    </w:p>
    <w:p>
      <w:pPr>
        <w:pStyle w:val="Heading3"/>
      </w:pPr>
      <w:r>
        <w:t xml:space="preserve">9.2 Manager and Supervisor Responsibilities</w:t>
      </w:r>
    </w:p>
    <w:p>
      <w:pPr>
        <w:spacing w:after="60" w:before="60"/>
      </w:pPr>
      <w:r>
        <w:rPr>
          <w:rFonts w:ascii="Arial" w:cs="Arial" w:eastAsia="Arial" w:hAnsi="Arial"/>
          <w:b w:val="false"/>
          <w:bCs w:val="false"/>
          <w:color w:val="3A4A5A"/>
          <w:sz w:val="22"/>
          <w:szCs w:val="22"/>
        </w:rPr>
        <w:t xml:space="preserve">Managers and supervisors are responsible for:</w:t>
      </w:r>
    </w:p>
    <w:p>
      <w:pPr>
        <w:pStyle w:val="ListParagraph"/>
        <w:numPr>
          <w:ilvl w:val="0"/>
          <w:numId w:val="2"/>
        </w:numPr>
      </w:pPr>
      <w:r>
        <w:rPr>
          <w:rFonts w:ascii="Arial" w:cs="Arial" w:eastAsia="Arial" w:hAnsi="Arial"/>
          <w:color w:val="3A4A5A"/>
          <w:sz w:val="22"/>
          <w:szCs w:val="22"/>
        </w:rPr>
        <w:t xml:space="preserve">Ensuring their teams are aware of the smoke-free policy</w:t>
      </w:r>
    </w:p>
    <w:p>
      <w:pPr>
        <w:pStyle w:val="ListParagraph"/>
        <w:numPr>
          <w:ilvl w:val="0"/>
          <w:numId w:val="2"/>
        </w:numPr>
      </w:pPr>
      <w:r>
        <w:rPr>
          <w:rFonts w:ascii="Arial" w:cs="Arial" w:eastAsia="Arial" w:hAnsi="Arial"/>
          <w:color w:val="3A4A5A"/>
          <w:sz w:val="22"/>
          <w:szCs w:val="22"/>
        </w:rPr>
        <w:t xml:space="preserve">Modeling compliance by not smoking or vaping in the workplace</w:t>
      </w:r>
    </w:p>
    <w:p>
      <w:pPr>
        <w:pStyle w:val="ListParagraph"/>
        <w:numPr>
          <w:ilvl w:val="0"/>
          <w:numId w:val="2"/>
        </w:numPr>
      </w:pPr>
      <w:r>
        <w:rPr>
          <w:rFonts w:ascii="Arial" w:cs="Arial" w:eastAsia="Arial" w:hAnsi="Arial"/>
          <w:color w:val="3A4A5A"/>
          <w:sz w:val="22"/>
          <w:szCs w:val="22"/>
        </w:rPr>
        <w:t xml:space="preserve">Addressing violations promptly and consistently</w:t>
      </w:r>
    </w:p>
    <w:p>
      <w:pPr>
        <w:pStyle w:val="ListParagraph"/>
        <w:numPr>
          <w:ilvl w:val="0"/>
          <w:numId w:val="2"/>
        </w:numPr>
      </w:pPr>
      <w:r>
        <w:rPr>
          <w:rFonts w:ascii="Arial" w:cs="Arial" w:eastAsia="Arial" w:hAnsi="Arial"/>
          <w:color w:val="3A4A5A"/>
          <w:sz w:val="22"/>
          <w:szCs w:val="22"/>
        </w:rPr>
        <w:t xml:space="preserve">Supporting employees seeking cessation assistance</w:t>
      </w:r>
    </w:p>
    <w:p>
      <w:pPr>
        <w:pStyle w:val="ListParagraph"/>
        <w:numPr>
          <w:ilvl w:val="0"/>
          <w:numId w:val="2"/>
        </w:numPr>
      </w:pPr>
      <w:r>
        <w:rPr>
          <w:rFonts w:ascii="Arial" w:cs="Arial" w:eastAsia="Arial" w:hAnsi="Arial"/>
          <w:color w:val="3A4A5A"/>
          <w:sz w:val="22"/>
          <w:szCs w:val="22"/>
        </w:rPr>
        <w:t xml:space="preserve">Reporting persistent violations to Human Resources</w:t>
      </w:r>
    </w:p>
    <w:p>
      <w:pPr>
        <w:pStyle w:val="Heading3"/>
      </w:pPr>
      <w:r>
        <w:t xml:space="preserve">9.3 Employee Responsibilities</w:t>
      </w:r>
    </w:p>
    <w:p>
      <w:pPr>
        <w:spacing w:after="60" w:before="60"/>
      </w:pPr>
      <w:r>
        <w:rPr>
          <w:rFonts w:ascii="Arial" w:cs="Arial" w:eastAsia="Arial" w:hAnsi="Arial"/>
          <w:b w:val="false"/>
          <w:bCs w:val="false"/>
          <w:color w:val="3A4A5A"/>
          <w:sz w:val="22"/>
          <w:szCs w:val="22"/>
        </w:rPr>
        <w:t xml:space="preserve">All employees are responsible for:</w:t>
      </w:r>
    </w:p>
    <w:p>
      <w:pPr>
        <w:pStyle w:val="ListParagraph"/>
        <w:numPr>
          <w:ilvl w:val="0"/>
          <w:numId w:val="2"/>
        </w:numPr>
      </w:pPr>
      <w:r>
        <w:rPr>
          <w:rFonts w:ascii="Arial" w:cs="Arial" w:eastAsia="Arial" w:hAnsi="Arial"/>
          <w:color w:val="3A4A5A"/>
          <w:sz w:val="22"/>
          <w:szCs w:val="22"/>
        </w:rPr>
        <w:t xml:space="preserve">Complying with the smoke-free workplace policy</w:t>
      </w:r>
    </w:p>
    <w:p>
      <w:pPr>
        <w:pStyle w:val="ListParagraph"/>
        <w:numPr>
          <w:ilvl w:val="0"/>
          <w:numId w:val="2"/>
        </w:numPr>
      </w:pPr>
      <w:r>
        <w:rPr>
          <w:rFonts w:ascii="Arial" w:cs="Arial" w:eastAsia="Arial" w:hAnsi="Arial"/>
          <w:color w:val="3A4A5A"/>
          <w:sz w:val="22"/>
          <w:szCs w:val="22"/>
        </w:rPr>
        <w:t xml:space="preserve">Not smoking, vaping, or using heated tobacco products on company premises or during work-related activities</w:t>
      </w:r>
    </w:p>
    <w:p>
      <w:pPr>
        <w:pStyle w:val="ListParagraph"/>
        <w:numPr>
          <w:ilvl w:val="0"/>
          <w:numId w:val="2"/>
        </w:numPr>
      </w:pPr>
      <w:r>
        <w:rPr>
          <w:rFonts w:ascii="Arial" w:cs="Arial" w:eastAsia="Arial" w:hAnsi="Arial"/>
          <w:color w:val="3A4A5A"/>
          <w:sz w:val="22"/>
          <w:szCs w:val="22"/>
        </w:rPr>
        <w:t xml:space="preserve">Respecting the rights of others to work in a smoke-free environment</w:t>
      </w:r>
    </w:p>
    <w:p>
      <w:pPr>
        <w:pStyle w:val="ListParagraph"/>
        <w:numPr>
          <w:ilvl w:val="0"/>
          <w:numId w:val="2"/>
        </w:numPr>
      </w:pPr>
      <w:r>
        <w:rPr>
          <w:rFonts w:ascii="Arial" w:cs="Arial" w:eastAsia="Arial" w:hAnsi="Arial"/>
          <w:color w:val="3A4A5A"/>
          <w:sz w:val="22"/>
          <w:szCs w:val="22"/>
        </w:rPr>
        <w:t xml:space="preserve">Reporting violations by other employees or visitors to management or Human Resources</w:t>
      </w:r>
    </w:p>
    <w:p>
      <w:pPr>
        <w:pStyle w:val="ListParagraph"/>
        <w:numPr>
          <w:ilvl w:val="0"/>
          <w:numId w:val="2"/>
        </w:numPr>
      </w:pPr>
      <w:r>
        <w:rPr>
          <w:rFonts w:ascii="Arial" w:cs="Arial" w:eastAsia="Arial" w:hAnsi="Arial"/>
          <w:color w:val="3A4A5A"/>
          <w:sz w:val="22"/>
          <w:szCs w:val="22"/>
        </w:rPr>
        <w:t xml:space="preserve">Supporting colleagues who are attempting to quit smoking</w:t>
      </w:r>
    </w:p>
    <w:p>
      <w:pPr>
        <w:pStyle w:val="Heading2"/>
      </w:pPr>
      <w:r>
        <w:t xml:space="preserve">10. Enforcement and Disciplinary Action</w:t>
      </w:r>
    </w:p>
    <w:p>
      <w:pPr>
        <w:pStyle w:val="Heading3"/>
      </w:pPr>
      <w:r>
        <w:t xml:space="preserve">10.1 Approach to Violations</w:t>
      </w:r>
    </w:p>
    <w:p>
      <w:pPr>
        <w:spacing w:after="60" w:before="60"/>
      </w:pPr>
      <w:r>
        <w:rPr>
          <w:rFonts w:ascii="Arial" w:cs="Arial" w:eastAsia="Arial" w:hAnsi="Arial"/>
          <w:b w:val="false"/>
          <w:bCs w:val="false"/>
          <w:color w:val="3A4A5A"/>
          <w:sz w:val="22"/>
          <w:szCs w:val="22"/>
        </w:rPr>
        <w:t xml:space="preserve">Jera Consulting will take a supportive approach to first-time violations, providing counselling and information about cessation support. Repeated violations will be addressed through formal disciplinary procedures in accordance with the company's Employee Relations Policy and the Labour Relations Act.</w:t>
      </w:r>
    </w:p>
    <w:p>
      <w:pPr>
        <w:pStyle w:val="Heading3"/>
      </w:pPr>
      <w:r>
        <w:t xml:space="preserve">10.2 Disciplinary Consequences</w:t>
      </w:r>
    </w:p>
    <w:p>
      <w:pPr>
        <w:spacing w:after="60" w:before="60"/>
      </w:pPr>
      <w:r>
        <w:rPr>
          <w:rFonts w:ascii="Arial" w:cs="Arial" w:eastAsia="Arial" w:hAnsi="Arial"/>
          <w:b w:val="false"/>
          <w:bCs w:val="false"/>
          <w:color w:val="3A4A5A"/>
          <w:sz w:val="22"/>
          <w:szCs w:val="22"/>
        </w:rPr>
        <w:t xml:space="preserve">Depending on the circumstances, violations may result in:</w:t>
      </w:r>
    </w:p>
    <w:p>
      <w:pPr>
        <w:pStyle w:val="ListParagraph"/>
        <w:numPr>
          <w:ilvl w:val="0"/>
          <w:numId w:val="2"/>
        </w:numPr>
      </w:pPr>
      <w:r>
        <w:rPr>
          <w:rFonts w:ascii="Arial" w:cs="Arial" w:eastAsia="Arial" w:hAnsi="Arial"/>
          <w:color w:val="3A4A5A"/>
          <w:sz w:val="22"/>
          <w:szCs w:val="22"/>
        </w:rPr>
        <w:t xml:space="preserve">Formal warning and requirement to attend cessation counselling</w:t>
      </w:r>
    </w:p>
    <w:p>
      <w:pPr>
        <w:pStyle w:val="ListParagraph"/>
        <w:numPr>
          <w:ilvl w:val="0"/>
          <w:numId w:val="2"/>
        </w:numPr>
      </w:pPr>
      <w:r>
        <w:rPr>
          <w:rFonts w:ascii="Arial" w:cs="Arial" w:eastAsia="Arial" w:hAnsi="Arial"/>
          <w:color w:val="3A4A5A"/>
          <w:sz w:val="22"/>
          <w:szCs w:val="22"/>
        </w:rPr>
        <w:t xml:space="preserve">Suspension of certain privileges (e.g., work-from-home arrangements)</w:t>
      </w:r>
    </w:p>
    <w:p>
      <w:pPr>
        <w:pStyle w:val="ListParagraph"/>
        <w:numPr>
          <w:ilvl w:val="0"/>
          <w:numId w:val="2"/>
        </w:numPr>
      </w:pPr>
      <w:r>
        <w:rPr>
          <w:rFonts w:ascii="Arial" w:cs="Arial" w:eastAsia="Arial" w:hAnsi="Arial"/>
          <w:color w:val="3A4A5A"/>
          <w:sz w:val="22"/>
          <w:szCs w:val="22"/>
        </w:rPr>
        <w:t xml:space="preserve">Disciplinary action up to and including dismissal for persistent or serious violations</w:t>
      </w:r>
    </w:p>
    <w:p>
      <w:pPr>
        <w:spacing w:after="60" w:before="60"/>
      </w:pPr>
      <w:r>
        <w:rPr>
          <w:rFonts w:ascii="Arial" w:cs="Arial" w:eastAsia="Arial" w:hAnsi="Arial"/>
          <w:b w:val="false"/>
          <w:bCs w:val="false"/>
          <w:color w:val="3A4A5A"/>
          <w:sz w:val="22"/>
          <w:szCs w:val="22"/>
        </w:rPr>
        <w:t xml:space="preserve">All disciplinary action will be fair, proportionate, and conducted in accordance with the Labour Relations Act, 1995.</w:t>
      </w:r>
    </w:p>
    <w:p>
      <w:pPr>
        <w:pStyle w:val="Heading3"/>
      </w:pPr>
      <w:r>
        <w:t xml:space="preserve">10.3 Reporting Violations</w:t>
      </w:r>
    </w:p>
    <w:p>
      <w:pPr>
        <w:spacing w:after="60" w:before="60"/>
      </w:pPr>
      <w:r>
        <w:rPr>
          <w:rFonts w:ascii="Arial" w:cs="Arial" w:eastAsia="Arial" w:hAnsi="Arial"/>
          <w:b w:val="false"/>
          <w:bCs w:val="false"/>
          <w:color w:val="3A4A5A"/>
          <w:sz w:val="22"/>
          <w:szCs w:val="22"/>
        </w:rPr>
        <w:t xml:space="preserve">Employees or visitors may report violations confidentially to:</w:t>
      </w:r>
    </w:p>
    <w:p>
      <w:pPr>
        <w:pStyle w:val="ListParagraph"/>
        <w:numPr>
          <w:ilvl w:val="0"/>
          <w:numId w:val="2"/>
        </w:numPr>
      </w:pPr>
      <w:r>
        <w:rPr>
          <w:rFonts w:ascii="Arial" w:cs="Arial" w:eastAsia="Arial" w:hAnsi="Arial"/>
          <w:color w:val="3A4A5A"/>
          <w:sz w:val="22"/>
          <w:szCs w:val="22"/>
        </w:rPr>
        <w:t xml:space="preserve">Their direct manager</w:t>
      </w:r>
    </w:p>
    <w:p>
      <w:pPr>
        <w:pStyle w:val="ListParagraph"/>
        <w:numPr>
          <w:ilvl w:val="0"/>
          <w:numId w:val="2"/>
        </w:numPr>
      </w:pPr>
      <w:r>
        <w:rPr>
          <w:rFonts w:ascii="Arial" w:cs="Arial" w:eastAsia="Arial" w:hAnsi="Arial"/>
          <w:color w:val="3A4A5A"/>
          <w:sz w:val="22"/>
          <w:szCs w:val="22"/>
        </w:rPr>
        <w:t xml:space="preserve">Human Resources</w:t>
      </w:r>
    </w:p>
    <w:p>
      <w:pPr>
        <w:pStyle w:val="ListParagraph"/>
        <w:numPr>
          <w:ilvl w:val="0"/>
          <w:numId w:val="2"/>
        </w:numPr>
      </w:pPr>
      <w:r>
        <w:rPr>
          <w:rFonts w:ascii="Arial" w:cs="Arial" w:eastAsia="Arial" w:hAnsi="Arial"/>
          <w:color w:val="3A4A5A"/>
          <w:sz w:val="22"/>
          <w:szCs w:val="22"/>
        </w:rPr>
        <w:t xml:space="preserve">A designated point of contact identified in internal communications</w:t>
      </w:r>
    </w:p>
    <w:p>
      <w:pPr>
        <w:pStyle w:val="Heading2"/>
      </w:pPr>
      <w:r>
        <w:t xml:space="preserve">11. Implementation Timeline</w:t>
      </w:r>
    </w:p>
    <w:p>
      <w:pPr>
        <w:spacing w:after="60" w:before="60"/>
      </w:pPr>
      <w:r>
        <w:rPr>
          <w:rFonts w:ascii="Arial" w:cs="Arial" w:eastAsia="Arial" w:hAnsi="Arial"/>
          <w:b w:val="false"/>
          <w:bCs w:val="false"/>
          <w:color w:val="3A4A5A"/>
          <w:sz w:val="22"/>
          <w:szCs w:val="22"/>
        </w:rPr>
        <w:t xml:space="preserve">This policy is effective immediately upon publication. All employees, contractors, and visitors will be notified of the updated smoke-free workplace policy. A grace period of 30 days is provided for employees and contractors to adjust to the new requirements. After this period, full enforcement will commence.</w:t>
      </w:r>
    </w:p>
    <w:p>
      <w:pPr>
        <w:pStyle w:val="Heading2"/>
      </w:pPr>
      <w:r>
        <w:t xml:space="preserve">12. Review and Amendment</w:t>
      </w:r>
    </w:p>
    <w:p>
      <w:pPr>
        <w:spacing w:after="60" w:before="60"/>
      </w:pPr>
      <w:r>
        <w:rPr>
          <w:rFonts w:ascii="Arial" w:cs="Arial" w:eastAsia="Arial" w:hAnsi="Arial"/>
          <w:b w:val="false"/>
          <w:bCs w:val="false"/>
          <w:color w:val="3A4A5A"/>
          <w:sz w:val="22"/>
          <w:szCs w:val="22"/>
        </w:rPr>
        <w:t xml:space="preserve">This policy will be reviewed annually and amended as necessary to reflect changes in legislation, best practices, and operational requirements.</w:t>
      </w:r>
    </w:p>
    <w:p>
      <w:pPr>
        <w:pStyle w:val="Heading2"/>
      </w:pPr>
      <w:r>
        <w:t xml:space="preserve">13. Legislative Framework</w:t>
      </w:r>
    </w:p>
    <w:p>
      <w:pPr>
        <w:spacing w:after="60" w:before="60"/>
      </w:pPr>
      <w:r>
        <w:rPr>
          <w:rFonts w:ascii="Arial" w:cs="Arial" w:eastAsia="Arial" w:hAnsi="Arial"/>
          <w:b w:val="false"/>
          <w:bCs w:val="false"/>
          <w:color w:val="3A4A5A"/>
          <w:sz w:val="22"/>
          <w:szCs w:val="22"/>
        </w:rPr>
        <w:t xml:space="preserve">This policy is based on and complies with:</w:t>
      </w:r>
    </w:p>
    <w:p>
      <w:pPr>
        <w:pStyle w:val="ListParagraph"/>
        <w:numPr>
          <w:ilvl w:val="0"/>
          <w:numId w:val="2"/>
        </w:numPr>
      </w:pPr>
      <w:r>
        <w:rPr>
          <w:rFonts w:ascii="Arial" w:cs="Arial" w:eastAsia="Arial" w:hAnsi="Arial"/>
          <w:color w:val="3A4A5A"/>
          <w:sz w:val="22"/>
          <w:szCs w:val="22"/>
        </w:rPr>
        <w:t xml:space="preserve">The Tobacco Products Control Act, 83 of 1993 (as amended)</w:t>
      </w:r>
    </w:p>
    <w:p>
      <w:pPr>
        <w:pStyle w:val="ListParagraph"/>
        <w:numPr>
          <w:ilvl w:val="0"/>
          <w:numId w:val="2"/>
        </w:numPr>
      </w:pPr>
      <w:r>
        <w:rPr>
          <w:rFonts w:ascii="Arial" w:cs="Arial" w:eastAsia="Arial" w:hAnsi="Arial"/>
          <w:color w:val="3A4A5A"/>
          <w:sz w:val="22"/>
          <w:szCs w:val="22"/>
        </w:rPr>
        <w:t xml:space="preserve">The Control of Tobacco Products and Electronic Delivery Systems Bill (2018 onwards)</w:t>
      </w:r>
    </w:p>
    <w:p>
      <w:pPr>
        <w:pStyle w:val="ListParagraph"/>
        <w:numPr>
          <w:ilvl w:val="0"/>
          <w:numId w:val="2"/>
        </w:numPr>
      </w:pPr>
      <w:r>
        <w:rPr>
          <w:rFonts w:ascii="Arial" w:cs="Arial" w:eastAsia="Arial" w:hAnsi="Arial"/>
          <w:color w:val="3A4A5A"/>
          <w:sz w:val="22"/>
          <w:szCs w:val="22"/>
        </w:rPr>
        <w:t xml:space="preserve">The Occupational Health and Safety Act, 85 of 1993</w:t>
      </w:r>
    </w:p>
    <w:p>
      <w:pPr>
        <w:pStyle w:val="ListParagraph"/>
        <w:numPr>
          <w:ilvl w:val="0"/>
          <w:numId w:val="2"/>
        </w:numPr>
      </w:pPr>
      <w:r>
        <w:rPr>
          <w:rFonts w:ascii="Arial" w:cs="Arial" w:eastAsia="Arial" w:hAnsi="Arial"/>
          <w:color w:val="3A4A5A"/>
          <w:sz w:val="22"/>
          <w:szCs w:val="22"/>
        </w:rPr>
        <w:t xml:space="preserve">The Labour Relations Act, 1995</w:t>
      </w:r>
    </w:p>
    <w:p>
      <w:pPr>
        <w:pStyle w:val="ListParagraph"/>
        <w:numPr>
          <w:ilvl w:val="0"/>
          <w:numId w:val="2"/>
        </w:numPr>
      </w:pPr>
      <w:r>
        <w:rPr>
          <w:rFonts w:ascii="Arial" w:cs="Arial" w:eastAsia="Arial" w:hAnsi="Arial"/>
          <w:color w:val="3A4A5A"/>
          <w:sz w:val="22"/>
          <w:szCs w:val="22"/>
        </w:rPr>
        <w:t xml:space="preserve">Applicable provincial and municipal regulations</w:t>
      </w:r>
    </w:p>
    <w:p>
      <w:pPr>
        <w:spacing w:after="0" w:before="300"/>
      </w:pPr>
    </w:p>
    <w:p>
      <w:pPr>
        <w:pStyle w:val="Heading2"/>
      </w:pPr>
      <w:r>
        <w:t xml:space="preserve">Sign-Off</w:t>
      </w:r>
    </w:p>
    <w:p>
      <w:pPr>
        <w:spacing w:after="60" w:before="60"/>
      </w:pPr>
      <w:r>
        <w:rPr>
          <w:rFonts w:ascii="Arial" w:cs="Arial" w:eastAsia="Arial" w:hAnsi="Arial"/>
          <w:b w:val="false"/>
          <w:bCs w:val="false"/>
          <w:color w:val="3A4A5A"/>
          <w:sz w:val="22"/>
          <w:szCs w:val="22"/>
        </w:rPr>
        <w:t xml:space="preserve">This policy has been reviewed and approved by the undersigned.</w:t>
      </w:r>
    </w:p>
    <w:p>
      <w:pPr>
        <w:spacing w:after="0" w:before="12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16"/>
        <w:gridCol w:w="2617"/>
        <w:gridCol w:w="3116"/>
        <w:gridCol w:w="2117"/>
      </w:tblGrid>
      <w:tr>
        <w:tc>
          <w:tcPr>
            <w:tcW w:type="dxa" w:w="2616"/>
            <w:tcBorders>
              <w:top w:val="single" w:color="DDE1EA" w:sz="4"/>
              <w:left w:val="single" w:color="DDE1EA" w:sz="4"/>
              <w:bottom w:val="single" w:color="DDE1EA" w:sz="4"/>
              <w:right w:val="single" w:color="DDE1EA" w:sz="4"/>
            </w:tcBorders>
            <w:shd w:fill="1B6FFF"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2617"/>
            <w:tcBorders>
              <w:top w:val="single" w:color="DDE1EA" w:sz="4"/>
              <w:left w:val="single" w:color="DDE1EA" w:sz="4"/>
              <w:bottom w:val="single" w:color="DDE1EA" w:sz="4"/>
              <w:right w:val="single" w:color="DDE1EA" w:sz="4"/>
            </w:tcBorders>
            <w:shd w:fill="1B6FFF"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3116"/>
            <w:tcBorders>
              <w:top w:val="single" w:color="DDE1EA" w:sz="4"/>
              <w:left w:val="single" w:color="DDE1EA" w:sz="4"/>
              <w:bottom w:val="single" w:color="DDE1EA" w:sz="4"/>
              <w:right w:val="single" w:color="DDE1EA" w:sz="4"/>
            </w:tcBorders>
            <w:shd w:fill="1B6FFF" w:val="clear"/>
            <w:tcMar>
              <w:top w:type="dxa" w:w="80"/>
              <w:left w:type="dxa" w:w="120"/>
              <w:bottom w:type="dxa" w:w="80"/>
              <w:right w:type="dxa" w:w="120"/>
            </w:tcMar>
          </w:tcPr>
          <w:p>
            <w:r>
              <w:rPr>
                <w:rFonts w:ascii="Arial" w:cs="Arial" w:eastAsia="Arial" w:hAnsi="Arial"/>
                <w:b/>
                <w:bCs/>
                <w:color w:val="FFFFFF"/>
                <w:sz w:val="18"/>
                <w:szCs w:val="18"/>
              </w:rPr>
              <w:t xml:space="preserve">Signature</w:t>
            </w:r>
          </w:p>
        </w:tc>
        <w:tc>
          <w:tcPr>
            <w:tcW w:type="dxa" w:w="2117"/>
            <w:tcBorders>
              <w:top w:val="single" w:color="DDE1EA" w:sz="4"/>
              <w:left w:val="single" w:color="DDE1EA" w:sz="4"/>
              <w:bottom w:val="single" w:color="DDE1EA" w:sz="4"/>
              <w:right w:val="single" w:color="DDE1EA" w:sz="4"/>
            </w:tcBorders>
            <w:shd w:fill="1B6FFF" w:val="clear"/>
            <w:tcMar>
              <w:top w:type="dxa" w:w="80"/>
              <w:left w:type="dxa" w:w="120"/>
              <w:bottom w:type="dxa" w:w="80"/>
              <w:right w:type="dxa" w:w="120"/>
            </w:tcMar>
          </w:tcPr>
          <w:p>
            <w:r>
              <w:rPr>
                <w:rFonts w:ascii="Arial" w:cs="Arial" w:eastAsia="Arial" w:hAnsi="Arial"/>
                <w:b/>
                <w:bCs/>
                <w:color w:val="FFFFFF"/>
                <w:sz w:val="18"/>
                <w:szCs w:val="18"/>
              </w:rPr>
              <w:t xml:space="preserve">Date</w:t>
            </w:r>
          </w:p>
        </w:tc>
      </w:tr>
      <w:tr>
        <w:tc>
          <w:tcPr>
            <w:tcW w:type="dxa" w:w="26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6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31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1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r>
      <w:tr>
        <w:tc>
          <w:tcPr>
            <w:tcW w:type="dxa" w:w="2616"/>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617"/>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3116"/>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117"/>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color w:val="3A4A5A"/>
                <w:sz w:val="18"/>
                <w:szCs w:val="18"/>
              </w:rPr>
              <w:t xml:space="preserve"> </w:t>
            </w:r>
          </w:p>
        </w:tc>
      </w:tr>
      <w:tr>
        <w:tc>
          <w:tcPr>
            <w:tcW w:type="dxa" w:w="26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6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31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1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r>
    </w:tbl>
    <w:p>
      <w:pPr>
        <w:spacing w:after="0" w:before="200"/>
      </w:pPr>
    </w:p>
    <w:p>
      <w:pPr>
        <w:pStyle w:val="Heading2"/>
      </w:pPr>
      <w:r>
        <w:t xml:space="preserve">Communication and Amendments</w:t>
      </w:r>
    </w:p>
    <w:p>
      <w:pPr>
        <w:pStyle w:val="ListParagraph"/>
        <w:numPr>
          <w:ilvl w:val="0"/>
          <w:numId w:val="2"/>
        </w:numPr>
      </w:pPr>
      <w:r>
        <w:rPr>
          <w:rFonts w:ascii="Arial" w:cs="Arial" w:eastAsia="Arial" w:hAnsi="Arial"/>
          <w:color w:val="3A4A5A"/>
          <w:sz w:val="22"/>
          <w:szCs w:val="22"/>
        </w:rPr>
        <w:t xml:space="preserve">Managers and team leaders must communicate this policy to all employees reporting to them.</w:t>
      </w:r>
    </w:p>
    <w:p>
      <w:pPr>
        <w:pStyle w:val="ListParagraph"/>
        <w:numPr>
          <w:ilvl w:val="0"/>
          <w:numId w:val="2"/>
        </w:numPr>
      </w:pPr>
      <w:r>
        <w:rPr>
          <w:rFonts w:ascii="Arial" w:cs="Arial" w:eastAsia="Arial" w:hAnsi="Arial"/>
          <w:color w:val="3A4A5A"/>
          <w:sz w:val="22"/>
          <w:szCs w:val="22"/>
        </w:rPr>
        <w:t xml:space="preserve">This policy may be amended from time to time without prior consultation or notice, subject to applicable legislation.</w:t>
      </w:r>
    </w:p>
    <w:p>
      <w:pPr>
        <w:pStyle w:val="ListParagraph"/>
        <w:numPr>
          <w:ilvl w:val="0"/>
          <w:numId w:val="2"/>
        </w:numPr>
      </w:pPr>
      <w:r>
        <w:rPr>
          <w:rFonts w:ascii="Arial" w:cs="Arial" w:eastAsia="Arial" w:hAnsi="Arial"/>
          <w:color w:val="3A4A5A"/>
          <w:sz w:val="22"/>
          <w:szCs w:val="22"/>
        </w:rPr>
        <w:t xml:space="preserve">The most current version of this policy will be made available on the company intranet or shared document repository.</w:t>
      </w:r>
    </w:p>
    <w:sectPr>
      <w:headerReference w:type="default" r:id="rId7"/>
      <w:footerReference w:type="default" r:id="rId8"/>
      <w:pgSz w:w="11906" w:h="16838" w:orient="portrait"/>
      <w:pgMar w:top="720" w:right="720" w:bottom="144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466"/>
      <w:tblBorders>
        <w:top w:val="none"/>
        <w:left w:val="none"/>
        <w:bottom w:val="none"/>
        <w:right w:val="none"/>
        <w:insideH w:val="single" w:color="auto" w:sz="4"/>
        <w:insideV w:val="single" w:color="auto" w:sz="4"/>
      </w:tblBorders>
    </w:tblPr>
    <w:tblGrid>
      <w:gridCol w:w="6800"/>
      <w:gridCol w:w="3666"/>
    </w:tblGrid>
    <w:tr>
      <w:tc>
        <w:tcPr>
          <w:tcW w:type="dxa" w:w="6800"/>
          <w:tcBorders>
            <w:top w:val="single" w:color="DDE1EA" w:sz="4"/>
            <w:left w:val="none"/>
            <w:bottom w:val="none"/>
            <w:right w:val="none"/>
          </w:tcBorders>
          <w:tcMar>
            <w:top w:type="dxa" w:w="80"/>
            <w:left w:type="dxa" w:w="0"/>
            <w:bottom w:type="dxa" w:w="0"/>
            <w:right w:type="dxa" w:w="120"/>
          </w:tcMar>
        </w:tcPr>
        <w:p>
          <w:pPr>
            <w:spacing w:after="0" w:before="80"/>
          </w:pPr>
          <w:r>
            <w:rPr>
              <w:rFonts w:ascii="Arial" w:cs="Arial" w:eastAsia="Arial" w:hAnsi="Arial"/>
              <w:color w:val="8A98A8"/>
              <w:sz w:val="14"/>
              <w:szCs w:val="14"/>
            </w:rPr>
            <w:t xml:space="preserve">256 Rondebult Rd, Parkdene, Boksburg, 1459, Gauteng  |  Tel: +27(0)11-913-3320</w:t>
          </w:r>
        </w:p>
        <w:p>
          <w:pPr>
            <w:spacing w:after="0" w:before="20"/>
          </w:pPr>
          <w:r>
            <w:rPr>
              <w:rFonts w:ascii="Arial" w:cs="Arial" w:eastAsia="Arial" w:hAnsi="Arial"/>
              <w:color w:val="8A98A8"/>
              <w:sz w:val="14"/>
              <w:szCs w:val="14"/>
            </w:rPr>
            <w:t xml:space="preserve">Reg No: 1988/007393/07  |  VAT: 4210112126  |  Est. 1988</w:t>
          </w:r>
        </w:p>
        <w:p>
          <w:pPr>
            <w:spacing w:after="0" w:before="20"/>
          </w:pPr>
          <w:r>
            <w:rPr>
              <w:rFonts w:ascii="Arial" w:cs="Arial" w:eastAsia="Arial" w:hAnsi="Arial"/>
              <w:color w:val="8A98A8"/>
              <w:sz w:val="14"/>
              <w:szCs w:val="14"/>
            </w:rPr>
            <w:t xml:space="preserve">Directors: R.A. de Kock (Managing), C. Haasbroek</w:t>
          </w:r>
        </w:p>
      </w:tc>
      <w:tc>
        <w:tcPr>
          <w:tcW w:type="dxa" w:w="3666"/>
          <w:tcBorders>
            <w:top w:val="single" w:color="DDE1EA" w:sz="4"/>
            <w:left w:val="none"/>
            <w:bottom w:val="none"/>
            <w:right w:val="none"/>
          </w:tcBorders>
          <w:tcMar>
            <w:top w:type="dxa" w:w="80"/>
            <w:left w:type="dxa" w:w="120"/>
            <w:bottom w:type="dxa" w:w="0"/>
            <w:right w:type="dxa" w:w="0"/>
          </w:tcMar>
          <w:vAlign w:val="center"/>
        </w:tcPr>
        <w:p>
          <w:pPr>
            <w:spacing w:after="0" w:before="0"/>
            <w:jc w:val="right"/>
          </w:pPr>
          <w:r>
            <w:rPr>
              <w:rFonts w:ascii="Arial" w:cs="Arial" w:eastAsia="Arial" w:hAnsi="Arial"/>
              <w:color w:val="1B6FFF"/>
              <w:sz w:val="14"/>
              <w:szCs w:val="14"/>
            </w:rPr>
            <w:t xml:space="preserve">jera.co.za</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FFF" w:sz="16" w:space="4"/>
      </w:pBdr>
      <w:spacing w:after="0"/>
      <w:jc w:val="left"/>
    </w:pPr>
    <w:r>
      <w:drawing>
        <wp:inline distT="0" distB="0" distL="0" distR="0">
          <wp:extent cx="1619250" cy="619125"/>
          <wp:effectExtent t="0" r="0" b="0" l="0"/>
          <wp:docPr id="1" name="JeraLogo" descr="Jera Consulting Logo" title="Jer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0" cy="6191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4A5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jc w:val="center"/>
      <w:outlineLvl w:val="0"/>
    </w:pPr>
    <w:rPr>
      <w:rFonts w:ascii="Arial" w:cs="Arial" w:eastAsia="Arial" w:hAnsi="Arial"/>
      <w:b/>
      <w:bCs/>
      <w:color w:val="1A2F50"/>
      <w:sz w:val="32"/>
      <w:szCs w:val="32"/>
    </w:rPr>
  </w:style>
  <w:style w:type="paragraph" w:styleId="Heading2">
    <w:name w:val="Heading 2"/>
    <w:basedOn w:val="Normal"/>
    <w:next w:val="Normal"/>
    <w:qFormat/>
    <w:pPr>
      <w:pBdr>
        <w:bottom w:val="single" w:color="1B6FFF" w:sz="8" w:space="4"/>
      </w:pBdr>
      <w:spacing w:after="120" w:before="240"/>
      <w:outlineLvl w:val="1"/>
    </w:pPr>
    <w:rPr>
      <w:rFonts w:ascii="Arial" w:cs="Arial" w:eastAsia="Arial" w:hAnsi="Arial"/>
      <w:b/>
      <w:bCs/>
      <w:color w:val="1B6FFF"/>
      <w:sz w:val="24"/>
      <w:szCs w:val="24"/>
    </w:rPr>
  </w:style>
  <w:style w:type="paragraph" w:styleId="Heading3">
    <w:name w:val="Heading 3"/>
    <w:basedOn w:val="Normal"/>
    <w:next w:val="Normal"/>
    <w:qFormat/>
    <w:pPr>
      <w:spacing w:after="80" w:before="160"/>
      <w:outlineLvl w:val="2"/>
    </w:pPr>
    <w:rPr>
      <w:rFonts w:ascii="Arial" w:cs="Arial" w:eastAsia="Arial" w:hAnsi="Arial"/>
      <w:b/>
      <w:bCs/>
      <w:color w:val="1A2F50"/>
      <w:sz w:val="22"/>
      <w:szCs w:val="22"/>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72655ee311d7e1297b04267f2333d1d98c19f2f.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33F60F771545E4FACCF5894FE890AE5" ma:contentTypeVersion="15" ma:contentTypeDescription="Create a new document." ma:contentTypeScope="" ma:versionID="2b5c8ba39e76d01cd5d87bb3fb98a620">
  <xsd:schema xmlns:xsd="http://www.w3.org/2001/XMLSchema" xmlns:xs="http://www.w3.org/2001/XMLSchema" xmlns:p="http://schemas.microsoft.com/office/2006/metadata/properties" xmlns:ns2="f32016ad-11d9-44d0-8f3a-f66ac62173df" xmlns:ns3="5392da11-5a5e-4873-aaa8-5acd18bf386b" targetNamespace="http://schemas.microsoft.com/office/2006/metadata/properties" ma:root="true" ma:fieldsID="6965f6421835919e11ab26e359dd715d" ns2:_="" ns3:_="">
    <xsd:import namespace="f32016ad-11d9-44d0-8f3a-f66ac62173df"/>
    <xsd:import namespace="5392da11-5a5e-4873-aaa8-5acd18bf386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2016ad-11d9-44d0-8f3a-f66ac62173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81e0656-4278-4ea6-a847-5feef180643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392da11-5a5e-4873-aaa8-5acd18bf386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65f4919-6599-4675-964d-ce44e3cd8aec}" ma:internalName="TaxCatchAll" ma:showField="CatchAllData" ma:web="5392da11-5a5e-4873-aaa8-5acd18bf386b">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392da11-5a5e-4873-aaa8-5acd18bf386b" xsi:nil="true"/>
    <lcf76f155ced4ddcb4097134ff3c332f xmlns="f32016ad-11d9-44d0-8f3a-f66ac62173d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589838D-EA3E-4B89-8EA7-26D795736564}"/>
</file>

<file path=customXml/itemProps2.xml><?xml version="1.0" encoding="utf-8"?>
<ds:datastoreItem xmlns:ds="http://schemas.openxmlformats.org/officeDocument/2006/customXml" ds:itemID="{C57804B8-85AF-48BC-BB25-BA8F274AC60D}"/>
</file>

<file path=customXml/itemProps3.xml><?xml version="1.0" encoding="utf-8"?>
<ds:datastoreItem xmlns:ds="http://schemas.openxmlformats.org/officeDocument/2006/customXml" ds:itemID="{E9BD2F00-E216-4EE0-9946-F439861CF997}"/>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2026-04-13T13:53:37Z</dcterms:created>
  <dcterms:modified xsi:type="dcterms:W3CDTF">2026-04-13T13:53:37Z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0x010100133F60F771545E4FACCF5894FE890AE5</vt:lpwstr>
  </property>
  <property fmtid="{D5CDD505-2E9C-101B-9397-08002B2CF9AE}" pid="3" name="MediaServiceImageTags">
    <vt:lpwstr/>
  </property>
</Properties>
</file>