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2026  |  April 2026  |  Prepared by Jera Consulting (Pty) Ltd</w:t>
      </w:r>
      <w:r>
        <w:rPr>
          <w:rFonts w:ascii="Arial" w:cs="Arial" w:eastAsia="Arial" w:hAnsi="Arial"/>
          <w:b/>
          <w:bCs/>
          <w:color w:val="1B6FFF"/>
          <w:sz w:val="17"/>
          <w:szCs w:val="17"/>
        </w:rPr>
        <w:t xml:space="preserve">	JERA-POL-HR013</w:t>
      </w:r>
    </w:p>
    <w:p>
      <w:pPr>
        <w:pStyle w:val="Heading1"/>
      </w:pPr>
      <w:r>
        <w:t xml:space="preserve">Employment Equity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Introduction</w:t>
      </w:r>
    </w:p>
    <w:p>
      <w:pPr>
        <w:spacing w:after="60" w:before="60"/>
      </w:pPr>
      <w:r>
        <w:rPr>
          <w:rFonts w:ascii="Arial" w:cs="Arial" w:eastAsia="Arial" w:hAnsi="Arial"/>
          <w:b w:val="false"/>
          <w:bCs w:val="false"/>
          <w:color w:val="3A4A5A"/>
          <w:sz w:val="22"/>
          <w:szCs w:val="22"/>
        </w:rPr>
        <w:t xml:space="preserve">Jera Consulting is committed to creating a diverse, inclusive, and equitable workplace where all individuals are treated fairly and have equal opportunities to develop and advance their careers. This Employment Equity Policy reflects our dedication to eliminating unfair discrimination and creating a representative workforce that reflects the diversity of South African society.</w:t>
      </w:r>
    </w:p>
    <w:p>
      <w:pPr>
        <w:pStyle w:val="Heading2"/>
      </w:pPr>
      <w:r>
        <w:t xml:space="preserve">2. Objective</w:t>
      </w:r>
    </w:p>
    <w:p>
      <w:pPr>
        <w:spacing w:after="60" w:before="60"/>
      </w:pPr>
      <w:r>
        <w:rPr>
          <w:rFonts w:ascii="Arial" w:cs="Arial" w:eastAsia="Arial" w:hAnsi="Arial"/>
          <w:b w:val="false"/>
          <w:bCs w:val="false"/>
          <w:color w:val="3A4A5A"/>
          <w:sz w:val="22"/>
          <w:szCs w:val="22"/>
        </w:rPr>
        <w:t xml:space="preserve">To:</w:t>
      </w:r>
    </w:p>
    <w:p>
      <w:pPr>
        <w:pStyle w:val="ListParagraph"/>
        <w:numPr>
          <w:ilvl w:val="0"/>
          <w:numId w:val="2"/>
        </w:numPr>
      </w:pPr>
      <w:r>
        <w:rPr>
          <w:rFonts w:ascii="Arial" w:cs="Arial" w:eastAsia="Arial" w:hAnsi="Arial"/>
          <w:color w:val="3A4A5A"/>
          <w:sz w:val="22"/>
          <w:szCs w:val="22"/>
        </w:rPr>
        <w:t xml:space="preserve">Eliminate unfair discrimination in all employment practices</w:t>
      </w:r>
    </w:p>
    <w:p>
      <w:pPr>
        <w:pStyle w:val="ListParagraph"/>
        <w:numPr>
          <w:ilvl w:val="0"/>
          <w:numId w:val="2"/>
        </w:numPr>
      </w:pPr>
      <w:r>
        <w:rPr>
          <w:rFonts w:ascii="Arial" w:cs="Arial" w:eastAsia="Arial" w:hAnsi="Arial"/>
          <w:color w:val="3A4A5A"/>
          <w:sz w:val="22"/>
          <w:szCs w:val="22"/>
        </w:rPr>
        <w:t xml:space="preserve">Advance equity and promote the interests of designated groups in the workplace</w:t>
      </w:r>
    </w:p>
    <w:p>
      <w:pPr>
        <w:pStyle w:val="ListParagraph"/>
        <w:numPr>
          <w:ilvl w:val="0"/>
          <w:numId w:val="2"/>
        </w:numPr>
      </w:pPr>
      <w:r>
        <w:rPr>
          <w:rFonts w:ascii="Arial" w:cs="Arial" w:eastAsia="Arial" w:hAnsi="Arial"/>
          <w:color w:val="3A4A5A"/>
          <w:sz w:val="22"/>
          <w:szCs w:val="22"/>
        </w:rPr>
        <w:t xml:space="preserve">Develop a diverse workforce that reflects the demographic composition of South Africa</w:t>
      </w:r>
    </w:p>
    <w:p>
      <w:pPr>
        <w:pStyle w:val="ListParagraph"/>
        <w:numPr>
          <w:ilvl w:val="0"/>
          <w:numId w:val="2"/>
        </w:numPr>
      </w:pPr>
      <w:r>
        <w:rPr>
          <w:rFonts w:ascii="Arial" w:cs="Arial" w:eastAsia="Arial" w:hAnsi="Arial"/>
          <w:color w:val="3A4A5A"/>
          <w:sz w:val="22"/>
          <w:szCs w:val="22"/>
        </w:rPr>
        <w:t xml:space="preserve">Ensure equal pay for work of equal value</w:t>
      </w:r>
    </w:p>
    <w:p>
      <w:pPr>
        <w:pStyle w:val="ListParagraph"/>
        <w:numPr>
          <w:ilvl w:val="0"/>
          <w:numId w:val="2"/>
        </w:numPr>
      </w:pPr>
      <w:r>
        <w:rPr>
          <w:rFonts w:ascii="Arial" w:cs="Arial" w:eastAsia="Arial" w:hAnsi="Arial"/>
          <w:color w:val="3A4A5A"/>
          <w:sz w:val="22"/>
          <w:szCs w:val="22"/>
        </w:rPr>
        <w:t xml:space="preserve">Create an inclusive culture where all employees can thrive</w:t>
      </w:r>
    </w:p>
    <w:p>
      <w:pPr>
        <w:pStyle w:val="ListParagraph"/>
        <w:numPr>
          <w:ilvl w:val="0"/>
          <w:numId w:val="2"/>
        </w:numPr>
      </w:pPr>
      <w:r>
        <w:rPr>
          <w:rFonts w:ascii="Arial" w:cs="Arial" w:eastAsia="Arial" w:hAnsi="Arial"/>
          <w:color w:val="3A4A5A"/>
          <w:sz w:val="22"/>
          <w:szCs w:val="22"/>
        </w:rPr>
        <w:t xml:space="preserve">Comply with the Employment Equity Act, 1998 (as amended by the Employment Equity Amendment Act, 4 of 2022)</w:t>
      </w:r>
    </w:p>
    <w:p>
      <w:pPr>
        <w:pStyle w:val="Heading2"/>
      </w:pPr>
      <w:r>
        <w:t xml:space="preserve">3. Governing Principles</w:t>
      </w:r>
    </w:p>
    <w:p>
      <w:pPr>
        <w:spacing w:after="60" w:before="60"/>
      </w:pPr>
      <w:r>
        <w:rPr>
          <w:rFonts w:ascii="Arial" w:cs="Arial" w:eastAsia="Arial" w:hAnsi="Arial"/>
          <w:b w:val="false"/>
          <w:bCs w:val="false"/>
          <w:color w:val="3A4A5A"/>
          <w:sz w:val="22"/>
          <w:szCs w:val="22"/>
        </w:rPr>
        <w:t xml:space="preserve">This policy is founded on the following principles:</w:t>
      </w:r>
    </w:p>
    <w:p>
      <w:pPr>
        <w:pStyle w:val="Heading3"/>
      </w:pPr>
      <w:r>
        <w:t xml:space="preserve">3.1 Compliance with Legislation</w:t>
      </w:r>
    </w:p>
    <w:p>
      <w:pPr>
        <w:pStyle w:val="ListParagraph"/>
        <w:numPr>
          <w:ilvl w:val="0"/>
          <w:numId w:val="2"/>
        </w:numPr>
      </w:pPr>
      <w:r>
        <w:rPr>
          <w:rFonts w:ascii="Arial" w:cs="Arial" w:eastAsia="Arial" w:hAnsi="Arial"/>
          <w:color w:val="3A4A5A"/>
          <w:sz w:val="22"/>
          <w:szCs w:val="22"/>
        </w:rPr>
        <w:t xml:space="preserve">Full compliance with the Employment Equity Act, 1998, and the 2022 amendments</w:t>
      </w:r>
    </w:p>
    <w:p>
      <w:pPr>
        <w:pStyle w:val="ListParagraph"/>
        <w:numPr>
          <w:ilvl w:val="0"/>
          <w:numId w:val="2"/>
        </w:numPr>
      </w:pPr>
      <w:r>
        <w:rPr>
          <w:rFonts w:ascii="Arial" w:cs="Arial" w:eastAsia="Arial" w:hAnsi="Arial"/>
          <w:color w:val="3A4A5A"/>
          <w:sz w:val="22"/>
          <w:szCs w:val="22"/>
        </w:rPr>
        <w:t xml:space="preserve">Adherence to the Constitution of the Republic of South Africa, 1996</w:t>
      </w:r>
    </w:p>
    <w:p>
      <w:pPr>
        <w:pStyle w:val="ListParagraph"/>
        <w:numPr>
          <w:ilvl w:val="0"/>
          <w:numId w:val="2"/>
        </w:numPr>
      </w:pPr>
      <w:r>
        <w:rPr>
          <w:rFonts w:ascii="Arial" w:cs="Arial" w:eastAsia="Arial" w:hAnsi="Arial"/>
          <w:color w:val="3A4A5A"/>
          <w:sz w:val="22"/>
          <w:szCs w:val="22"/>
        </w:rPr>
        <w:t xml:space="preserve">Compliance with the Protection of Personal Information Act (POPIA)</w:t>
      </w:r>
    </w:p>
    <w:p>
      <w:pPr>
        <w:pStyle w:val="ListParagraph"/>
        <w:numPr>
          <w:ilvl w:val="0"/>
          <w:numId w:val="2"/>
        </w:numPr>
      </w:pPr>
      <w:r>
        <w:rPr>
          <w:rFonts w:ascii="Arial" w:cs="Arial" w:eastAsia="Arial" w:hAnsi="Arial"/>
          <w:color w:val="3A4A5A"/>
          <w:sz w:val="22"/>
          <w:szCs w:val="22"/>
        </w:rPr>
        <w:t xml:space="preserve">Alignment with the Broad-Based Black Economic Empowerment (B-BBEE) Act and current B-BBEE Codes</w:t>
      </w:r>
    </w:p>
    <w:p>
      <w:pPr>
        <w:pStyle w:val="Heading3"/>
      </w:pPr>
      <w:r>
        <w:t xml:space="preserve">3.2 Fair Implementation</w:t>
      </w:r>
    </w:p>
    <w:p>
      <w:pPr>
        <w:pStyle w:val="ListParagraph"/>
        <w:numPr>
          <w:ilvl w:val="0"/>
          <w:numId w:val="2"/>
        </w:numPr>
      </w:pPr>
      <w:r>
        <w:rPr>
          <w:rFonts w:ascii="Arial" w:cs="Arial" w:eastAsia="Arial" w:hAnsi="Arial"/>
          <w:color w:val="3A4A5A"/>
          <w:sz w:val="22"/>
          <w:szCs w:val="22"/>
        </w:rPr>
        <w:t xml:space="preserve">Employment equity initiatives will be fair, transparent, and applied consistently across the organisation</w:t>
      </w:r>
    </w:p>
    <w:p>
      <w:pPr>
        <w:pStyle w:val="ListParagraph"/>
        <w:numPr>
          <w:ilvl w:val="0"/>
          <w:numId w:val="2"/>
        </w:numPr>
      </w:pPr>
      <w:r>
        <w:rPr>
          <w:rFonts w:ascii="Arial" w:cs="Arial" w:eastAsia="Arial" w:hAnsi="Arial"/>
          <w:color w:val="3A4A5A"/>
          <w:sz w:val="22"/>
          <w:szCs w:val="22"/>
        </w:rPr>
        <w:t xml:space="preserve">No employee will be unfairly discriminated against or disadvantaged</w:t>
      </w:r>
    </w:p>
    <w:p>
      <w:pPr>
        <w:pStyle w:val="ListParagraph"/>
        <w:numPr>
          <w:ilvl w:val="0"/>
          <w:numId w:val="2"/>
        </w:numPr>
      </w:pPr>
      <w:r>
        <w:rPr>
          <w:rFonts w:ascii="Arial" w:cs="Arial" w:eastAsia="Arial" w:hAnsi="Arial"/>
          <w:color w:val="3A4A5A"/>
          <w:sz w:val="22"/>
          <w:szCs w:val="22"/>
        </w:rPr>
        <w:t xml:space="preserve">Merit and competence remain central to all employment decisions</w:t>
      </w:r>
    </w:p>
    <w:p>
      <w:pPr>
        <w:pStyle w:val="Heading3"/>
      </w:pPr>
      <w:r>
        <w:t xml:space="preserve">3.3 Integration into Strategy</w:t>
      </w:r>
    </w:p>
    <w:p>
      <w:pPr>
        <w:pStyle w:val="ListParagraph"/>
        <w:numPr>
          <w:ilvl w:val="0"/>
          <w:numId w:val="2"/>
        </w:numPr>
      </w:pPr>
      <w:r>
        <w:rPr>
          <w:rFonts w:ascii="Arial" w:cs="Arial" w:eastAsia="Arial" w:hAnsi="Arial"/>
          <w:color w:val="3A4A5A"/>
          <w:sz w:val="22"/>
          <w:szCs w:val="22"/>
        </w:rPr>
        <w:t xml:space="preserve">Employment equity is integrated into the company's overall business strategy and human resources planning</w:t>
      </w:r>
    </w:p>
    <w:p>
      <w:pPr>
        <w:pStyle w:val="ListParagraph"/>
        <w:numPr>
          <w:ilvl w:val="0"/>
          <w:numId w:val="2"/>
        </w:numPr>
      </w:pPr>
      <w:r>
        <w:rPr>
          <w:rFonts w:ascii="Arial" w:cs="Arial" w:eastAsia="Arial" w:hAnsi="Arial"/>
          <w:color w:val="3A4A5A"/>
          <w:sz w:val="22"/>
          <w:szCs w:val="22"/>
        </w:rPr>
        <w:t xml:space="preserve">Diversity and inclusion are considered in all strategic decisions</w:t>
      </w:r>
    </w:p>
    <w:p>
      <w:pPr>
        <w:pStyle w:val="Heading2"/>
      </w:pPr>
      <w:r>
        <w:t xml:space="preserve">4. Policy Statement</w:t>
      </w:r>
    </w:p>
    <w:p>
      <w:pPr>
        <w:pStyle w:val="Heading3"/>
      </w:pPr>
      <w:r>
        <w:t xml:space="preserve">4.1 Designated Groups</w:t>
      </w:r>
    </w:p>
    <w:p>
      <w:pPr>
        <w:spacing w:after="60" w:before="60"/>
      </w:pPr>
      <w:r>
        <w:rPr>
          <w:rFonts w:ascii="Arial" w:cs="Arial" w:eastAsia="Arial" w:hAnsi="Arial"/>
          <w:b w:val="false"/>
          <w:bCs w:val="false"/>
          <w:color w:val="3A4A5A"/>
          <w:sz w:val="22"/>
          <w:szCs w:val="22"/>
        </w:rPr>
        <w:t xml:space="preserve">In accordance with the Employment Equity Act, as amended, Jera Consulting recognises the following designated groups:</w:t>
      </w:r>
    </w:p>
    <w:p>
      <w:pPr>
        <w:pStyle w:val="ListParagraph"/>
        <w:numPr>
          <w:ilvl w:val="0"/>
          <w:numId w:val="2"/>
        </w:numPr>
      </w:pPr>
      <w:r>
        <w:rPr>
          <w:rFonts w:ascii="Arial" w:cs="Arial" w:eastAsia="Arial" w:hAnsi="Arial"/>
          <w:color w:val="3A4A5A"/>
          <w:sz w:val="22"/>
          <w:szCs w:val="22"/>
        </w:rPr>
        <w:t xml:space="preserve">Black employees (African, Coloured, and Indian employees)</w:t>
      </w:r>
    </w:p>
    <w:p>
      <w:pPr>
        <w:pStyle w:val="ListParagraph"/>
        <w:numPr>
          <w:ilvl w:val="0"/>
          <w:numId w:val="2"/>
        </w:numPr>
      </w:pPr>
      <w:r>
        <w:rPr>
          <w:rFonts w:ascii="Arial" w:cs="Arial" w:eastAsia="Arial" w:hAnsi="Arial"/>
          <w:color w:val="3A4A5A"/>
          <w:sz w:val="22"/>
          <w:szCs w:val="22"/>
        </w:rPr>
        <w:t xml:space="preserve">Women of all races</w:t>
      </w:r>
    </w:p>
    <w:p>
      <w:pPr>
        <w:pStyle w:val="ListParagraph"/>
        <w:numPr>
          <w:ilvl w:val="0"/>
          <w:numId w:val="2"/>
        </w:numPr>
      </w:pPr>
      <w:r>
        <w:rPr>
          <w:rFonts w:ascii="Arial" w:cs="Arial" w:eastAsia="Arial" w:hAnsi="Arial"/>
          <w:color w:val="3A4A5A"/>
          <w:sz w:val="22"/>
          <w:szCs w:val="22"/>
        </w:rPr>
        <w:t xml:space="preserve">People with disabilities</w:t>
      </w:r>
    </w:p>
    <w:p>
      <w:pPr>
        <w:pStyle w:val="Heading3"/>
      </w:pPr>
      <w:r>
        <w:t xml:space="preserve">4.2 Zero Tolerance for Unfair Discrimination</w:t>
      </w:r>
    </w:p>
    <w:p>
      <w:pPr>
        <w:spacing w:after="60" w:before="60"/>
      </w:pPr>
      <w:r>
        <w:rPr>
          <w:rFonts w:ascii="Arial" w:cs="Arial" w:eastAsia="Arial" w:hAnsi="Arial"/>
          <w:b w:val="false"/>
          <w:bCs w:val="false"/>
          <w:color w:val="3A4A5A"/>
          <w:sz w:val="22"/>
          <w:szCs w:val="22"/>
        </w:rPr>
        <w:t xml:space="preserve">Jera Consulting will not unfairly discriminate, directly or indirectly, against any employee or job applicant on the grounds of:</w:t>
      </w:r>
    </w:p>
    <w:p>
      <w:pPr>
        <w:pStyle w:val="ListParagraph"/>
        <w:numPr>
          <w:ilvl w:val="0"/>
          <w:numId w:val="2"/>
        </w:numPr>
      </w:pPr>
      <w:r>
        <w:rPr>
          <w:rFonts w:ascii="Arial" w:cs="Arial" w:eastAsia="Arial" w:hAnsi="Arial"/>
          <w:color w:val="3A4A5A"/>
          <w:sz w:val="22"/>
          <w:szCs w:val="22"/>
        </w:rPr>
        <w:t xml:space="preserve">Race, colour, ethnicity, or national origin</w:t>
      </w:r>
    </w:p>
    <w:p>
      <w:pPr>
        <w:pStyle w:val="ListParagraph"/>
        <w:numPr>
          <w:ilvl w:val="0"/>
          <w:numId w:val="2"/>
        </w:numPr>
      </w:pPr>
      <w:r>
        <w:rPr>
          <w:rFonts w:ascii="Arial" w:cs="Arial" w:eastAsia="Arial" w:hAnsi="Arial"/>
          <w:color w:val="3A4A5A"/>
          <w:sz w:val="22"/>
          <w:szCs w:val="22"/>
        </w:rPr>
        <w:t xml:space="preserve">Gender or gender identity</w:t>
      </w:r>
    </w:p>
    <w:p>
      <w:pPr>
        <w:pStyle w:val="ListParagraph"/>
        <w:numPr>
          <w:ilvl w:val="0"/>
          <w:numId w:val="2"/>
        </w:numPr>
      </w:pPr>
      <w:r>
        <w:rPr>
          <w:rFonts w:ascii="Arial" w:cs="Arial" w:eastAsia="Arial" w:hAnsi="Arial"/>
          <w:color w:val="3A4A5A"/>
          <w:sz w:val="22"/>
          <w:szCs w:val="22"/>
        </w:rPr>
        <w:t xml:space="preserve">Sex or sexual orientation</w:t>
      </w:r>
    </w:p>
    <w:p>
      <w:pPr>
        <w:pStyle w:val="ListParagraph"/>
        <w:numPr>
          <w:ilvl w:val="0"/>
          <w:numId w:val="2"/>
        </w:numPr>
      </w:pPr>
      <w:r>
        <w:rPr>
          <w:rFonts w:ascii="Arial" w:cs="Arial" w:eastAsia="Arial" w:hAnsi="Arial"/>
          <w:color w:val="3A4A5A"/>
          <w:sz w:val="22"/>
          <w:szCs w:val="22"/>
        </w:rPr>
        <w:t xml:space="preserve">Pregnancy or marital status</w:t>
      </w:r>
    </w:p>
    <w:p>
      <w:pPr>
        <w:pStyle w:val="ListParagraph"/>
        <w:numPr>
          <w:ilvl w:val="0"/>
          <w:numId w:val="2"/>
        </w:numPr>
      </w:pPr>
      <w:r>
        <w:rPr>
          <w:rFonts w:ascii="Arial" w:cs="Arial" w:eastAsia="Arial" w:hAnsi="Arial"/>
          <w:color w:val="3A4A5A"/>
          <w:sz w:val="22"/>
          <w:szCs w:val="22"/>
        </w:rPr>
        <w:t xml:space="preserve">Family or parental responsibility</w:t>
      </w:r>
    </w:p>
    <w:p>
      <w:pPr>
        <w:pStyle w:val="ListParagraph"/>
        <w:numPr>
          <w:ilvl w:val="0"/>
          <w:numId w:val="2"/>
        </w:numPr>
      </w:pPr>
      <w:r>
        <w:rPr>
          <w:rFonts w:ascii="Arial" w:cs="Arial" w:eastAsia="Arial" w:hAnsi="Arial"/>
          <w:color w:val="3A4A5A"/>
          <w:sz w:val="22"/>
          <w:szCs w:val="22"/>
        </w:rPr>
        <w:t xml:space="preserve">Disability</w:t>
      </w:r>
    </w:p>
    <w:p>
      <w:pPr>
        <w:pStyle w:val="ListParagraph"/>
        <w:numPr>
          <w:ilvl w:val="0"/>
          <w:numId w:val="2"/>
        </w:numPr>
      </w:pPr>
      <w:r>
        <w:rPr>
          <w:rFonts w:ascii="Arial" w:cs="Arial" w:eastAsia="Arial" w:hAnsi="Arial"/>
          <w:color w:val="3A4A5A"/>
          <w:sz w:val="22"/>
          <w:szCs w:val="22"/>
        </w:rPr>
        <w:t xml:space="preserve">Religion or belief</w:t>
      </w:r>
    </w:p>
    <w:p>
      <w:pPr>
        <w:pStyle w:val="ListParagraph"/>
        <w:numPr>
          <w:ilvl w:val="0"/>
          <w:numId w:val="2"/>
        </w:numPr>
      </w:pPr>
      <w:r>
        <w:rPr>
          <w:rFonts w:ascii="Arial" w:cs="Arial" w:eastAsia="Arial" w:hAnsi="Arial"/>
          <w:color w:val="3A4A5A"/>
          <w:sz w:val="22"/>
          <w:szCs w:val="22"/>
        </w:rPr>
        <w:t xml:space="preserve">Age</w:t>
      </w:r>
    </w:p>
    <w:p>
      <w:pPr>
        <w:pStyle w:val="ListParagraph"/>
        <w:numPr>
          <w:ilvl w:val="0"/>
          <w:numId w:val="2"/>
        </w:numPr>
      </w:pPr>
      <w:r>
        <w:rPr>
          <w:rFonts w:ascii="Arial" w:cs="Arial" w:eastAsia="Arial" w:hAnsi="Arial"/>
          <w:color w:val="3A4A5A"/>
          <w:sz w:val="22"/>
          <w:szCs w:val="22"/>
        </w:rPr>
        <w:t xml:space="preserve">Political opinion or affiliation</w:t>
      </w:r>
    </w:p>
    <w:p>
      <w:pPr>
        <w:pStyle w:val="ListParagraph"/>
        <w:numPr>
          <w:ilvl w:val="0"/>
          <w:numId w:val="2"/>
        </w:numPr>
      </w:pPr>
      <w:r>
        <w:rPr>
          <w:rFonts w:ascii="Arial" w:cs="Arial" w:eastAsia="Arial" w:hAnsi="Arial"/>
          <w:color w:val="3A4A5A"/>
          <w:sz w:val="22"/>
          <w:szCs w:val="22"/>
        </w:rPr>
        <w:t xml:space="preserve">Conviction for a crime (subject to certain exceptions)</w:t>
      </w:r>
    </w:p>
    <w:p>
      <w:pPr>
        <w:spacing w:after="60" w:before="60"/>
      </w:pPr>
      <w:r>
        <w:rPr>
          <w:rFonts w:ascii="Arial" w:cs="Arial" w:eastAsia="Arial" w:hAnsi="Arial"/>
          <w:b w:val="false"/>
          <w:bCs w:val="false"/>
          <w:color w:val="3A4A5A"/>
          <w:sz w:val="22"/>
          <w:szCs w:val="22"/>
        </w:rPr>
        <w:t xml:space="preserve">Unfair discrimination includes harassment, bullying, and creating a hostile work environment based on any of these characteristics.</w:t>
      </w:r>
    </w:p>
    <w:p>
      <w:pPr>
        <w:pStyle w:val="Heading3"/>
      </w:pPr>
      <w:r>
        <w:t xml:space="preserve">4.3 Equal Pay for Work of Equal Value</w:t>
      </w:r>
    </w:p>
    <w:p>
      <w:pPr>
        <w:spacing w:after="60" w:before="60"/>
      </w:pPr>
      <w:r>
        <w:rPr>
          <w:rFonts w:ascii="Arial" w:cs="Arial" w:eastAsia="Arial" w:hAnsi="Arial"/>
          <w:b w:val="false"/>
          <w:bCs w:val="false"/>
          <w:color w:val="3A4A5A"/>
          <w:sz w:val="22"/>
          <w:szCs w:val="22"/>
        </w:rPr>
        <w:t xml:space="preserve">In accordance with section 6(4) of the Employment Equity Act (as amended), Jera Consulting is committed to ensuring that employees performing work of equal value receive equal remuneration. Pay audits will be conducted regularly to identify and address any unjustifiable pay inequities.</w:t>
      </w:r>
    </w:p>
    <w:p>
      <w:pPr>
        <w:pStyle w:val="Heading3"/>
      </w:pPr>
      <w:r>
        <w:t xml:space="preserve">4.4 Sectoral Targets</w:t>
      </w:r>
    </w:p>
    <w:p>
      <w:pPr>
        <w:spacing w:after="60" w:before="60"/>
      </w:pPr>
      <w:r>
        <w:rPr>
          <w:rFonts w:ascii="Arial" w:cs="Arial" w:eastAsia="Arial" w:hAnsi="Arial"/>
          <w:b w:val="false"/>
          <w:bCs w:val="false"/>
          <w:color w:val="3A4A5A"/>
          <w:sz w:val="22"/>
          <w:szCs w:val="22"/>
        </w:rPr>
        <w:t xml:space="preserve">Jera Consulting acknowledges that the Minister of Employment and Labour may set sectoral numerical targets for the employment of designated groups. The company will work towards achieving any applicable sectoral targets as published by the Department of Employment and Labour.</w:t>
      </w:r>
    </w:p>
    <w:p>
      <w:pPr>
        <w:pStyle w:val="Heading2"/>
      </w:pPr>
      <w:r>
        <w:t xml:space="preserve">5. Scope</w:t>
      </w:r>
    </w:p>
    <w:p>
      <w:pPr>
        <w:spacing w:after="60" w:before="60"/>
      </w:pPr>
      <w:r>
        <w:rPr>
          <w:rFonts w:ascii="Arial" w:cs="Arial" w:eastAsia="Arial" w:hAnsi="Arial"/>
          <w:b w:val="false"/>
          <w:bCs w:val="false"/>
          <w:color w:val="3A4A5A"/>
          <w:sz w:val="22"/>
          <w:szCs w:val="22"/>
        </w:rPr>
        <w:t xml:space="preserve">This policy applies to:</w:t>
      </w:r>
    </w:p>
    <w:p>
      <w:pPr>
        <w:pStyle w:val="ListParagraph"/>
        <w:numPr>
          <w:ilvl w:val="0"/>
          <w:numId w:val="2"/>
        </w:numPr>
      </w:pPr>
      <w:r>
        <w:rPr>
          <w:rFonts w:ascii="Arial" w:cs="Arial" w:eastAsia="Arial" w:hAnsi="Arial"/>
          <w:color w:val="3A4A5A"/>
          <w:sz w:val="22"/>
          <w:szCs w:val="22"/>
        </w:rPr>
        <w:t xml:space="preserve">All employees of Jera Consulting</w:t>
      </w:r>
    </w:p>
    <w:p>
      <w:pPr>
        <w:pStyle w:val="ListParagraph"/>
        <w:numPr>
          <w:ilvl w:val="0"/>
          <w:numId w:val="2"/>
        </w:numPr>
      </w:pPr>
      <w:r>
        <w:rPr>
          <w:rFonts w:ascii="Arial" w:cs="Arial" w:eastAsia="Arial" w:hAnsi="Arial"/>
          <w:color w:val="3A4A5A"/>
          <w:sz w:val="22"/>
          <w:szCs w:val="22"/>
        </w:rPr>
        <w:t xml:space="preserve">Job applicants and recruitment processes</w:t>
      </w:r>
    </w:p>
    <w:p>
      <w:pPr>
        <w:pStyle w:val="ListParagraph"/>
        <w:numPr>
          <w:ilvl w:val="0"/>
          <w:numId w:val="2"/>
        </w:numPr>
      </w:pPr>
      <w:r>
        <w:rPr>
          <w:rFonts w:ascii="Arial" w:cs="Arial" w:eastAsia="Arial" w:hAnsi="Arial"/>
          <w:color w:val="3A4A5A"/>
          <w:sz w:val="22"/>
          <w:szCs w:val="22"/>
        </w:rPr>
        <w:t xml:space="preserve">Contractors and service providers</w:t>
      </w:r>
    </w:p>
    <w:p>
      <w:pPr>
        <w:pStyle w:val="ListParagraph"/>
        <w:numPr>
          <w:ilvl w:val="0"/>
          <w:numId w:val="2"/>
        </w:numPr>
      </w:pPr>
      <w:r>
        <w:rPr>
          <w:rFonts w:ascii="Arial" w:cs="Arial" w:eastAsia="Arial" w:hAnsi="Arial"/>
          <w:color w:val="3A4A5A"/>
          <w:sz w:val="22"/>
          <w:szCs w:val="22"/>
        </w:rPr>
        <w:t xml:space="preserve">All employment practices including recruitment, promotion, training, remuneration, and termination</w:t>
      </w:r>
    </w:p>
    <w:p>
      <w:pPr>
        <w:pStyle w:val="Heading2"/>
      </w:pPr>
      <w:r>
        <w:t xml:space="preserve">6. Desired Results and Current Position</w:t>
      </w:r>
    </w:p>
    <w:p>
      <w:pPr>
        <w:pStyle w:val="Heading3"/>
      </w:pPr>
      <w:r>
        <w:t xml:space="preserve">6.1 Diversity Profile</w:t>
      </w:r>
    </w:p>
    <w:p>
      <w:pPr>
        <w:spacing w:after="60" w:before="60"/>
      </w:pPr>
      <w:r>
        <w:rPr>
          <w:rFonts w:ascii="Arial" w:cs="Arial" w:eastAsia="Arial" w:hAnsi="Arial"/>
          <w:b w:val="false"/>
          <w:bCs w:val="false"/>
          <w:color w:val="3A4A5A"/>
          <w:sz w:val="22"/>
          <w:szCs w:val="22"/>
        </w:rPr>
        <w:t xml:space="preserve">Jera Consulting is working towards a workforce profile that reflects the diversity of the South African population, as informed by current census data and labour market demographics. The company recognises that achieving this diversity is an ongoing process that requires sustained commitment and investment.</w:t>
      </w:r>
    </w:p>
    <w:p>
      <w:pPr>
        <w:pStyle w:val="Heading3"/>
      </w:pPr>
      <w:r>
        <w:t xml:space="preserve">6.2 Representation Goals</w:t>
      </w:r>
    </w:p>
    <w:p>
      <w:pPr>
        <w:spacing w:after="60" w:before="60"/>
      </w:pPr>
      <w:r>
        <w:rPr>
          <w:rFonts w:ascii="Arial" w:cs="Arial" w:eastAsia="Arial" w:hAnsi="Arial"/>
          <w:b w:val="false"/>
          <w:bCs w:val="false"/>
          <w:color w:val="3A4A5A"/>
          <w:sz w:val="22"/>
          <w:szCs w:val="22"/>
        </w:rPr>
        <w:t xml:space="preserve">While the company does not maintain rigid numerical targets that override merit-based recruitment, the following aspirational goals guide our employment equity initiatives:</w:t>
      </w:r>
    </w:p>
    <w:p>
      <w:pPr>
        <w:pStyle w:val="ListParagraph"/>
        <w:numPr>
          <w:ilvl w:val="0"/>
          <w:numId w:val="2"/>
        </w:numPr>
      </w:pPr>
      <w:r>
        <w:rPr>
          <w:rFonts w:ascii="Arial" w:cs="Arial" w:eastAsia="Arial" w:hAnsi="Arial"/>
          <w:color w:val="3A4A5A"/>
          <w:sz w:val="22"/>
          <w:szCs w:val="22"/>
        </w:rPr>
        <w:t xml:space="preserve">Increase representation of Black employees across all occupational levels</w:t>
      </w:r>
    </w:p>
    <w:p>
      <w:pPr>
        <w:pStyle w:val="ListParagraph"/>
        <w:numPr>
          <w:ilvl w:val="0"/>
          <w:numId w:val="2"/>
        </w:numPr>
      </w:pPr>
      <w:r>
        <w:rPr>
          <w:rFonts w:ascii="Arial" w:cs="Arial" w:eastAsia="Arial" w:hAnsi="Arial"/>
          <w:color w:val="3A4A5A"/>
          <w:sz w:val="22"/>
          <w:szCs w:val="22"/>
        </w:rPr>
        <w:t xml:space="preserve">Improve representation of women in senior and technical positions</w:t>
      </w:r>
    </w:p>
    <w:p>
      <w:pPr>
        <w:pStyle w:val="ListParagraph"/>
        <w:numPr>
          <w:ilvl w:val="0"/>
          <w:numId w:val="2"/>
        </w:numPr>
      </w:pPr>
      <w:r>
        <w:rPr>
          <w:rFonts w:ascii="Arial" w:cs="Arial" w:eastAsia="Arial" w:hAnsi="Arial"/>
          <w:color w:val="3A4A5A"/>
          <w:sz w:val="22"/>
          <w:szCs w:val="22"/>
        </w:rPr>
        <w:t xml:space="preserve">Create inclusive opportunities for people with disabilities</w:t>
      </w:r>
    </w:p>
    <w:p>
      <w:pPr>
        <w:pStyle w:val="ListParagraph"/>
        <w:numPr>
          <w:ilvl w:val="0"/>
          <w:numId w:val="2"/>
        </w:numPr>
      </w:pPr>
      <w:r>
        <w:rPr>
          <w:rFonts w:ascii="Arial" w:cs="Arial" w:eastAsia="Arial" w:hAnsi="Arial"/>
          <w:color w:val="3A4A5A"/>
          <w:sz w:val="22"/>
          <w:szCs w:val="22"/>
        </w:rPr>
        <w:t xml:space="preserve">Develop succession pipelines for designated groups at all levels</w:t>
      </w:r>
    </w:p>
    <w:p>
      <w:pPr>
        <w:pStyle w:val="Heading2"/>
      </w:pPr>
      <w:r>
        <w:t xml:space="preserve">7. Policy Principles</w:t>
      </w:r>
    </w:p>
    <w:p>
      <w:pPr>
        <w:pStyle w:val="Heading3"/>
      </w:pPr>
      <w:r>
        <w:t xml:space="preserve">7.1 Fair Implementation</w:t>
      </w:r>
    </w:p>
    <w:p>
      <w:pPr>
        <w:spacing w:after="60" w:before="60"/>
      </w:pPr>
      <w:r>
        <w:rPr>
          <w:rFonts w:ascii="Arial" w:cs="Arial" w:eastAsia="Arial" w:hAnsi="Arial"/>
          <w:b w:val="false"/>
          <w:bCs w:val="false"/>
          <w:color w:val="3A4A5A"/>
          <w:sz w:val="22"/>
          <w:szCs w:val="22"/>
        </w:rPr>
        <w:t xml:space="preserve">Employment equity measures will be implemented fairly and transparently, with clear processes and decision-making criteria. All employment decisions will be documented and subject to review.</w:t>
      </w:r>
    </w:p>
    <w:p>
      <w:pPr>
        <w:pStyle w:val="Heading3"/>
      </w:pPr>
      <w:r>
        <w:t xml:space="preserve">7.2 Integration into HR Strategy</w:t>
      </w:r>
    </w:p>
    <w:p>
      <w:pPr>
        <w:spacing w:after="60" w:before="60"/>
      </w:pPr>
      <w:r>
        <w:rPr>
          <w:rFonts w:ascii="Arial" w:cs="Arial" w:eastAsia="Arial" w:hAnsi="Arial"/>
          <w:b w:val="false"/>
          <w:bCs w:val="false"/>
          <w:color w:val="3A4A5A"/>
          <w:sz w:val="22"/>
          <w:szCs w:val="22"/>
        </w:rPr>
        <w:t xml:space="preserve">Employment equity is integrated into all aspects of human resource management, including:</w:t>
      </w:r>
    </w:p>
    <w:p>
      <w:pPr>
        <w:pStyle w:val="ListParagraph"/>
        <w:numPr>
          <w:ilvl w:val="0"/>
          <w:numId w:val="2"/>
        </w:numPr>
      </w:pPr>
      <w:r>
        <w:rPr>
          <w:rFonts w:ascii="Arial" w:cs="Arial" w:eastAsia="Arial" w:hAnsi="Arial"/>
          <w:color w:val="3A4A5A"/>
          <w:sz w:val="22"/>
          <w:szCs w:val="22"/>
        </w:rPr>
        <w:t xml:space="preserve">Workforce planning and analysis</w:t>
      </w:r>
    </w:p>
    <w:p>
      <w:pPr>
        <w:pStyle w:val="ListParagraph"/>
        <w:numPr>
          <w:ilvl w:val="0"/>
          <w:numId w:val="2"/>
        </w:numPr>
      </w:pPr>
      <w:r>
        <w:rPr>
          <w:rFonts w:ascii="Arial" w:cs="Arial" w:eastAsia="Arial" w:hAnsi="Arial"/>
          <w:color w:val="3A4A5A"/>
          <w:sz w:val="22"/>
          <w:szCs w:val="22"/>
        </w:rPr>
        <w:t xml:space="preserve">Recruitment and selection</w:t>
      </w:r>
    </w:p>
    <w:p>
      <w:pPr>
        <w:pStyle w:val="ListParagraph"/>
        <w:numPr>
          <w:ilvl w:val="0"/>
          <w:numId w:val="2"/>
        </w:numPr>
      </w:pPr>
      <w:r>
        <w:rPr>
          <w:rFonts w:ascii="Arial" w:cs="Arial" w:eastAsia="Arial" w:hAnsi="Arial"/>
          <w:color w:val="3A4A5A"/>
          <w:sz w:val="22"/>
          <w:szCs w:val="22"/>
        </w:rPr>
        <w:t xml:space="preserve">Skills development and training</w:t>
      </w:r>
    </w:p>
    <w:p>
      <w:pPr>
        <w:pStyle w:val="ListParagraph"/>
        <w:numPr>
          <w:ilvl w:val="0"/>
          <w:numId w:val="2"/>
        </w:numPr>
      </w:pPr>
      <w:r>
        <w:rPr>
          <w:rFonts w:ascii="Arial" w:cs="Arial" w:eastAsia="Arial" w:hAnsi="Arial"/>
          <w:color w:val="3A4A5A"/>
          <w:sz w:val="22"/>
          <w:szCs w:val="22"/>
        </w:rPr>
        <w:t xml:space="preserve">Career progression and promotion</w:t>
      </w:r>
    </w:p>
    <w:p>
      <w:pPr>
        <w:pStyle w:val="ListParagraph"/>
        <w:numPr>
          <w:ilvl w:val="0"/>
          <w:numId w:val="2"/>
        </w:numPr>
      </w:pPr>
      <w:r>
        <w:rPr>
          <w:rFonts w:ascii="Arial" w:cs="Arial" w:eastAsia="Arial" w:hAnsi="Arial"/>
          <w:color w:val="3A4A5A"/>
          <w:sz w:val="22"/>
          <w:szCs w:val="22"/>
        </w:rPr>
        <w:t xml:space="preserve">Remuneration and benefits</w:t>
      </w:r>
    </w:p>
    <w:p>
      <w:pPr>
        <w:pStyle w:val="ListParagraph"/>
        <w:numPr>
          <w:ilvl w:val="0"/>
          <w:numId w:val="2"/>
        </w:numPr>
      </w:pPr>
      <w:r>
        <w:rPr>
          <w:rFonts w:ascii="Arial" w:cs="Arial" w:eastAsia="Arial" w:hAnsi="Arial"/>
          <w:color w:val="3A4A5A"/>
          <w:sz w:val="22"/>
          <w:szCs w:val="22"/>
        </w:rPr>
        <w:t xml:space="preserve">Retention and exit management</w:t>
      </w:r>
    </w:p>
    <w:p>
      <w:pPr>
        <w:pStyle w:val="Heading3"/>
      </w:pPr>
      <w:r>
        <w:t xml:space="preserve">7.3 Target Groups and Focus Areas</w:t>
      </w:r>
    </w:p>
    <w:p>
      <w:pPr>
        <w:spacing w:after="60" w:before="60"/>
      </w:pPr>
      <w:r>
        <w:rPr>
          <w:rFonts w:ascii="Arial" w:cs="Arial" w:eastAsia="Arial" w:hAnsi="Arial"/>
          <w:b w:val="false"/>
          <w:bCs w:val="false"/>
          <w:color w:val="3A4A5A"/>
          <w:sz w:val="22"/>
          <w:szCs w:val="22"/>
        </w:rPr>
        <w:t xml:space="preserve">Special attention will be given to:</w:t>
      </w:r>
    </w:p>
    <w:p>
      <w:pPr>
        <w:pStyle w:val="ListParagraph"/>
        <w:numPr>
          <w:ilvl w:val="0"/>
          <w:numId w:val="2"/>
        </w:numPr>
      </w:pPr>
      <w:r>
        <w:rPr>
          <w:rFonts w:ascii="Arial" w:cs="Arial" w:eastAsia="Arial" w:hAnsi="Arial"/>
          <w:color w:val="3A4A5A"/>
          <w:sz w:val="22"/>
          <w:szCs w:val="22"/>
        </w:rPr>
        <w:t xml:space="preserve">Recruitment of Black employees, women, and people with disabilities from emerging talent pools</w:t>
      </w:r>
    </w:p>
    <w:p>
      <w:pPr>
        <w:pStyle w:val="ListParagraph"/>
        <w:numPr>
          <w:ilvl w:val="0"/>
          <w:numId w:val="2"/>
        </w:numPr>
      </w:pPr>
      <w:r>
        <w:rPr>
          <w:rFonts w:ascii="Arial" w:cs="Arial" w:eastAsia="Arial" w:hAnsi="Arial"/>
          <w:color w:val="3A4A5A"/>
          <w:sz w:val="22"/>
          <w:szCs w:val="22"/>
        </w:rPr>
        <w:t xml:space="preserve">Promotion and advancement of designated group members into senior positions</w:t>
      </w:r>
    </w:p>
    <w:p>
      <w:pPr>
        <w:pStyle w:val="ListParagraph"/>
        <w:numPr>
          <w:ilvl w:val="0"/>
          <w:numId w:val="2"/>
        </w:numPr>
      </w:pPr>
      <w:r>
        <w:rPr>
          <w:rFonts w:ascii="Arial" w:cs="Arial" w:eastAsia="Arial" w:hAnsi="Arial"/>
          <w:color w:val="3A4A5A"/>
          <w:sz w:val="22"/>
          <w:szCs w:val="22"/>
        </w:rPr>
        <w:t xml:space="preserve">Skills development and mentoring programs for underrepresented groups</w:t>
      </w:r>
    </w:p>
    <w:p>
      <w:pPr>
        <w:pStyle w:val="ListParagraph"/>
        <w:numPr>
          <w:ilvl w:val="0"/>
          <w:numId w:val="2"/>
        </w:numPr>
      </w:pPr>
      <w:r>
        <w:rPr>
          <w:rFonts w:ascii="Arial" w:cs="Arial" w:eastAsia="Arial" w:hAnsi="Arial"/>
          <w:color w:val="3A4A5A"/>
          <w:sz w:val="22"/>
          <w:szCs w:val="22"/>
        </w:rPr>
        <w:t xml:space="preserve">Leadership development for women and Black employees</w:t>
      </w:r>
    </w:p>
    <w:p>
      <w:pPr>
        <w:pStyle w:val="Heading3"/>
      </w:pPr>
      <w:r>
        <w:t xml:space="preserve">7.4 No Tokenism</w:t>
      </w:r>
    </w:p>
    <w:p>
      <w:pPr>
        <w:spacing w:after="60" w:before="60"/>
      </w:pPr>
      <w:r>
        <w:rPr>
          <w:rFonts w:ascii="Arial" w:cs="Arial" w:eastAsia="Arial" w:hAnsi="Arial"/>
          <w:b w:val="false"/>
          <w:bCs w:val="false"/>
          <w:color w:val="3A4A5A"/>
          <w:sz w:val="22"/>
          <w:szCs w:val="22"/>
        </w:rPr>
        <w:t xml:space="preserve">Employment equity initiatives will not result in the appointment or promotion of unqualified individuals. While we seek to advance designated group members, all appointments must be based on merit, competence, and ability to perform the role.</w:t>
      </w:r>
    </w:p>
    <w:p>
      <w:pPr>
        <w:pStyle w:val="Heading3"/>
      </w:pPr>
      <w:r>
        <w:t xml:space="preserve">7.5 Skills Pool and Development</w:t>
      </w:r>
    </w:p>
    <w:p>
      <w:pPr>
        <w:spacing w:after="60" w:before="60"/>
      </w:pPr>
      <w:r>
        <w:rPr>
          <w:rFonts w:ascii="Arial" w:cs="Arial" w:eastAsia="Arial" w:hAnsi="Arial"/>
          <w:b w:val="false"/>
          <w:bCs w:val="false"/>
          <w:color w:val="3A4A5A"/>
          <w:sz w:val="22"/>
          <w:szCs w:val="22"/>
        </w:rPr>
        <w:t xml:space="preserve">The company recognises that historical disadvantage has affected the skills pool available in the labour market. Jera Consulting is committed to investing in the development of employees from designated groups through:</w:t>
      </w:r>
    </w:p>
    <w:p>
      <w:pPr>
        <w:pStyle w:val="ListParagraph"/>
        <w:numPr>
          <w:ilvl w:val="0"/>
          <w:numId w:val="2"/>
        </w:numPr>
      </w:pPr>
      <w:r>
        <w:rPr>
          <w:rFonts w:ascii="Arial" w:cs="Arial" w:eastAsia="Arial" w:hAnsi="Arial"/>
          <w:color w:val="3A4A5A"/>
          <w:sz w:val="22"/>
          <w:szCs w:val="22"/>
        </w:rPr>
        <w:t xml:space="preserve">Targeted skills training and mentoring programs</w:t>
      </w:r>
    </w:p>
    <w:p>
      <w:pPr>
        <w:pStyle w:val="ListParagraph"/>
        <w:numPr>
          <w:ilvl w:val="0"/>
          <w:numId w:val="2"/>
        </w:numPr>
      </w:pPr>
      <w:r>
        <w:rPr>
          <w:rFonts w:ascii="Arial" w:cs="Arial" w:eastAsia="Arial" w:hAnsi="Arial"/>
          <w:color w:val="3A4A5A"/>
          <w:sz w:val="22"/>
          <w:szCs w:val="22"/>
        </w:rPr>
        <w:t xml:space="preserve">Support for further education and professional development</w:t>
      </w:r>
    </w:p>
    <w:p>
      <w:pPr>
        <w:pStyle w:val="ListParagraph"/>
        <w:numPr>
          <w:ilvl w:val="0"/>
          <w:numId w:val="2"/>
        </w:numPr>
      </w:pPr>
      <w:r>
        <w:rPr>
          <w:rFonts w:ascii="Arial" w:cs="Arial" w:eastAsia="Arial" w:hAnsi="Arial"/>
          <w:color w:val="3A4A5A"/>
          <w:sz w:val="22"/>
          <w:szCs w:val="22"/>
        </w:rPr>
        <w:t xml:space="preserve">Internship and graduate recruitment programs</w:t>
      </w:r>
    </w:p>
    <w:p>
      <w:pPr>
        <w:pStyle w:val="ListParagraph"/>
        <w:numPr>
          <w:ilvl w:val="0"/>
          <w:numId w:val="2"/>
        </w:numPr>
      </w:pPr>
      <w:r>
        <w:rPr>
          <w:rFonts w:ascii="Arial" w:cs="Arial" w:eastAsia="Arial" w:hAnsi="Arial"/>
          <w:color w:val="3A4A5A"/>
          <w:sz w:val="22"/>
          <w:szCs w:val="22"/>
        </w:rPr>
        <w:t xml:space="preserve">Partnerships with educational institutions</w:t>
      </w:r>
    </w:p>
    <w:p>
      <w:pPr>
        <w:pStyle w:val="Heading3"/>
      </w:pPr>
      <w:r>
        <w:t xml:space="preserve">7.6 Diversity Management</w:t>
      </w:r>
    </w:p>
    <w:p>
      <w:pPr>
        <w:spacing w:after="60" w:before="60"/>
      </w:pPr>
      <w:r>
        <w:rPr>
          <w:rFonts w:ascii="Arial" w:cs="Arial" w:eastAsia="Arial" w:hAnsi="Arial"/>
          <w:b w:val="false"/>
          <w:bCs w:val="false"/>
          <w:color w:val="3A4A5A"/>
          <w:sz w:val="22"/>
          <w:szCs w:val="22"/>
        </w:rPr>
        <w:t xml:space="preserve">Beyond numerical targets, Jera Consulting is committed to creating an inclusive culture where diversity is valued and leveraged for innovation and business success. This includes:</w:t>
      </w:r>
    </w:p>
    <w:p>
      <w:pPr>
        <w:pStyle w:val="ListParagraph"/>
        <w:numPr>
          <w:ilvl w:val="0"/>
          <w:numId w:val="2"/>
        </w:numPr>
      </w:pPr>
      <w:r>
        <w:rPr>
          <w:rFonts w:ascii="Arial" w:cs="Arial" w:eastAsia="Arial" w:hAnsi="Arial"/>
          <w:color w:val="3A4A5A"/>
          <w:sz w:val="22"/>
          <w:szCs w:val="22"/>
        </w:rPr>
        <w:t xml:space="preserve">Awareness training on unconscious bias and inclusive leadership</w:t>
      </w:r>
    </w:p>
    <w:p>
      <w:pPr>
        <w:pStyle w:val="ListParagraph"/>
        <w:numPr>
          <w:ilvl w:val="0"/>
          <w:numId w:val="2"/>
        </w:numPr>
      </w:pPr>
      <w:r>
        <w:rPr>
          <w:rFonts w:ascii="Arial" w:cs="Arial" w:eastAsia="Arial" w:hAnsi="Arial"/>
          <w:color w:val="3A4A5A"/>
          <w:sz w:val="22"/>
          <w:szCs w:val="22"/>
        </w:rPr>
        <w:t xml:space="preserve">Employee resource groups and affinity networks</w:t>
      </w:r>
    </w:p>
    <w:p>
      <w:pPr>
        <w:pStyle w:val="ListParagraph"/>
        <w:numPr>
          <w:ilvl w:val="0"/>
          <w:numId w:val="2"/>
        </w:numPr>
      </w:pPr>
      <w:r>
        <w:rPr>
          <w:rFonts w:ascii="Arial" w:cs="Arial" w:eastAsia="Arial" w:hAnsi="Arial"/>
          <w:color w:val="3A4A5A"/>
          <w:sz w:val="22"/>
          <w:szCs w:val="22"/>
        </w:rPr>
        <w:t xml:space="preserve">Celebration of diversity through company events and communications</w:t>
      </w:r>
    </w:p>
    <w:p>
      <w:pPr>
        <w:pStyle w:val="ListParagraph"/>
        <w:numPr>
          <w:ilvl w:val="0"/>
          <w:numId w:val="2"/>
        </w:numPr>
      </w:pPr>
      <w:r>
        <w:rPr>
          <w:rFonts w:ascii="Arial" w:cs="Arial" w:eastAsia="Arial" w:hAnsi="Arial"/>
          <w:color w:val="3A4A5A"/>
          <w:sz w:val="22"/>
          <w:szCs w:val="22"/>
        </w:rPr>
        <w:t xml:space="preserve">Mentoring and sponsorship of underrepresented groups</w:t>
      </w:r>
    </w:p>
    <w:p>
      <w:pPr>
        <w:pStyle w:val="Heading3"/>
      </w:pPr>
      <w:r>
        <w:t xml:space="preserve">7.7 Accountability</w:t>
      </w:r>
    </w:p>
    <w:p>
      <w:pPr>
        <w:spacing w:after="60" w:before="60"/>
      </w:pPr>
      <w:r>
        <w:rPr>
          <w:rFonts w:ascii="Arial" w:cs="Arial" w:eastAsia="Arial" w:hAnsi="Arial"/>
          <w:b w:val="false"/>
          <w:bCs w:val="false"/>
          <w:color w:val="3A4A5A"/>
          <w:sz w:val="22"/>
          <w:szCs w:val="22"/>
        </w:rPr>
        <w:t xml:space="preserve">Senior management is accountable for the achievement of employment equity objectives. Progress will be monitored through:</w:t>
      </w:r>
    </w:p>
    <w:p>
      <w:pPr>
        <w:pStyle w:val="ListParagraph"/>
        <w:numPr>
          <w:ilvl w:val="0"/>
          <w:numId w:val="2"/>
        </w:numPr>
      </w:pPr>
      <w:r>
        <w:rPr>
          <w:rFonts w:ascii="Arial" w:cs="Arial" w:eastAsia="Arial" w:hAnsi="Arial"/>
          <w:color w:val="3A4A5A"/>
          <w:sz w:val="22"/>
          <w:szCs w:val="22"/>
        </w:rPr>
        <w:t xml:space="preserve">Regular workforce demographic analysis</w:t>
      </w:r>
    </w:p>
    <w:p>
      <w:pPr>
        <w:pStyle w:val="ListParagraph"/>
        <w:numPr>
          <w:ilvl w:val="0"/>
          <w:numId w:val="2"/>
        </w:numPr>
      </w:pPr>
      <w:r>
        <w:rPr>
          <w:rFonts w:ascii="Arial" w:cs="Arial" w:eastAsia="Arial" w:hAnsi="Arial"/>
          <w:color w:val="3A4A5A"/>
          <w:sz w:val="22"/>
          <w:szCs w:val="22"/>
        </w:rPr>
        <w:t xml:space="preserve">Annual employment equity reports to the Department of Employment and Labour</w:t>
      </w:r>
    </w:p>
    <w:p>
      <w:pPr>
        <w:pStyle w:val="ListParagraph"/>
        <w:numPr>
          <w:ilvl w:val="0"/>
          <w:numId w:val="2"/>
        </w:numPr>
      </w:pPr>
      <w:r>
        <w:rPr>
          <w:rFonts w:ascii="Arial" w:cs="Arial" w:eastAsia="Arial" w:hAnsi="Arial"/>
          <w:color w:val="3A4A5A"/>
          <w:sz w:val="22"/>
          <w:szCs w:val="22"/>
        </w:rPr>
        <w:t xml:space="preserve">Internal reporting and monitoring of equity metrics</w:t>
      </w:r>
    </w:p>
    <w:p>
      <w:pPr>
        <w:pStyle w:val="ListParagraph"/>
        <w:numPr>
          <w:ilvl w:val="0"/>
          <w:numId w:val="2"/>
        </w:numPr>
      </w:pPr>
      <w:r>
        <w:rPr>
          <w:rFonts w:ascii="Arial" w:cs="Arial" w:eastAsia="Arial" w:hAnsi="Arial"/>
          <w:color w:val="3A4A5A"/>
          <w:sz w:val="22"/>
          <w:szCs w:val="22"/>
        </w:rPr>
        <w:t xml:space="preserve">Management performance evaluations that include employment equity objectives</w:t>
      </w:r>
    </w:p>
    <w:p>
      <w:pPr>
        <w:pStyle w:val="Heading2"/>
      </w:pPr>
      <w:r>
        <w:t xml:space="preserve">8. Disability Inclusion and Accommodation</w:t>
      </w:r>
    </w:p>
    <w:p>
      <w:pPr>
        <w:spacing w:after="60" w:before="60"/>
      </w:pPr>
      <w:r>
        <w:rPr>
          <w:rFonts w:ascii="Arial" w:cs="Arial" w:eastAsia="Arial" w:hAnsi="Arial"/>
          <w:b w:val="false"/>
          <w:bCs w:val="false"/>
          <w:color w:val="3A4A5A"/>
          <w:sz w:val="22"/>
          <w:szCs w:val="22"/>
        </w:rPr>
        <w:t xml:space="preserve">Jera Consulting is committed to creating an inclusive workplace for people with disabilities. The company will:</w:t>
      </w:r>
    </w:p>
    <w:p>
      <w:pPr>
        <w:pStyle w:val="ListParagraph"/>
        <w:numPr>
          <w:ilvl w:val="0"/>
          <w:numId w:val="2"/>
        </w:numPr>
      </w:pPr>
      <w:r>
        <w:rPr>
          <w:rFonts w:ascii="Arial" w:cs="Arial" w:eastAsia="Arial" w:hAnsi="Arial"/>
          <w:color w:val="3A4A5A"/>
          <w:sz w:val="22"/>
          <w:szCs w:val="22"/>
        </w:rPr>
        <w:t xml:space="preserve">Recruit and promote qualified people with disabilities</w:t>
      </w:r>
    </w:p>
    <w:p>
      <w:pPr>
        <w:pStyle w:val="ListParagraph"/>
        <w:numPr>
          <w:ilvl w:val="0"/>
          <w:numId w:val="2"/>
        </w:numPr>
      </w:pPr>
      <w:r>
        <w:rPr>
          <w:rFonts w:ascii="Arial" w:cs="Arial" w:eastAsia="Arial" w:hAnsi="Arial"/>
          <w:color w:val="3A4A5A"/>
          <w:sz w:val="22"/>
          <w:szCs w:val="22"/>
        </w:rPr>
        <w:t xml:space="preserve">Provide reasonable accommodation to enable people with disabilities to perform their duties</w:t>
      </w:r>
    </w:p>
    <w:p>
      <w:pPr>
        <w:pStyle w:val="ListParagraph"/>
        <w:numPr>
          <w:ilvl w:val="0"/>
          <w:numId w:val="2"/>
        </w:numPr>
      </w:pPr>
      <w:r>
        <w:rPr>
          <w:rFonts w:ascii="Arial" w:cs="Arial" w:eastAsia="Arial" w:hAnsi="Arial"/>
          <w:color w:val="3A4A5A"/>
          <w:sz w:val="22"/>
          <w:szCs w:val="22"/>
        </w:rPr>
        <w:t xml:space="preserve">Ensure accessibility of physical spaces, technology, and communication</w:t>
      </w:r>
    </w:p>
    <w:p>
      <w:pPr>
        <w:pStyle w:val="ListParagraph"/>
        <w:numPr>
          <w:ilvl w:val="0"/>
          <w:numId w:val="2"/>
        </w:numPr>
      </w:pPr>
      <w:r>
        <w:rPr>
          <w:rFonts w:ascii="Arial" w:cs="Arial" w:eastAsia="Arial" w:hAnsi="Arial"/>
          <w:color w:val="3A4A5A"/>
          <w:sz w:val="22"/>
          <w:szCs w:val="22"/>
        </w:rPr>
        <w:t xml:space="preserve">Support employees with disabilities in their career development</w:t>
      </w:r>
    </w:p>
    <w:p>
      <w:pPr>
        <w:pStyle w:val="ListParagraph"/>
        <w:numPr>
          <w:ilvl w:val="0"/>
          <w:numId w:val="2"/>
        </w:numPr>
      </w:pPr>
      <w:r>
        <w:rPr>
          <w:rFonts w:ascii="Arial" w:cs="Arial" w:eastAsia="Arial" w:hAnsi="Arial"/>
          <w:color w:val="3A4A5A"/>
          <w:sz w:val="22"/>
          <w:szCs w:val="22"/>
        </w:rPr>
        <w:t xml:space="preserve">Maintain confidentiality of disability information in accordance with POPIA</w:t>
      </w:r>
    </w:p>
    <w:p>
      <w:pPr>
        <w:pStyle w:val="Heading2"/>
      </w:pPr>
      <w:r>
        <w:t xml:space="preserve">9. Gender-Based Violence Awareness and Support</w:t>
      </w:r>
    </w:p>
    <w:p>
      <w:pPr>
        <w:spacing w:after="60" w:before="60"/>
      </w:pPr>
      <w:r>
        <w:rPr>
          <w:rFonts w:ascii="Arial" w:cs="Arial" w:eastAsia="Arial" w:hAnsi="Arial"/>
          <w:b w:val="false"/>
          <w:bCs w:val="false"/>
          <w:color w:val="3A4A5A"/>
          <w:sz w:val="22"/>
          <w:szCs w:val="22"/>
        </w:rPr>
        <w:t xml:space="preserve">The company recognises the impact of gender-based violence on employees and the workplace. Jera Consulting will:</w:t>
      </w:r>
    </w:p>
    <w:p>
      <w:pPr>
        <w:pStyle w:val="ListParagraph"/>
        <w:numPr>
          <w:ilvl w:val="0"/>
          <w:numId w:val="2"/>
        </w:numPr>
      </w:pPr>
      <w:r>
        <w:rPr>
          <w:rFonts w:ascii="Arial" w:cs="Arial" w:eastAsia="Arial" w:hAnsi="Arial"/>
          <w:color w:val="3A4A5A"/>
          <w:sz w:val="22"/>
          <w:szCs w:val="22"/>
        </w:rPr>
        <w:t xml:space="preserve">Maintain a zero-tolerance policy for gender-based violence and harassment</w:t>
      </w:r>
    </w:p>
    <w:p>
      <w:pPr>
        <w:pStyle w:val="ListParagraph"/>
        <w:numPr>
          <w:ilvl w:val="0"/>
          <w:numId w:val="2"/>
        </w:numPr>
      </w:pPr>
      <w:r>
        <w:rPr>
          <w:rFonts w:ascii="Arial" w:cs="Arial" w:eastAsia="Arial" w:hAnsi="Arial"/>
          <w:color w:val="3A4A5A"/>
          <w:sz w:val="22"/>
          <w:szCs w:val="22"/>
        </w:rPr>
        <w:t xml:space="preserve">Provide information and support for employees affected by gender-based violence</w:t>
      </w:r>
    </w:p>
    <w:p>
      <w:pPr>
        <w:pStyle w:val="ListParagraph"/>
        <w:numPr>
          <w:ilvl w:val="0"/>
          <w:numId w:val="2"/>
        </w:numPr>
      </w:pPr>
      <w:r>
        <w:rPr>
          <w:rFonts w:ascii="Arial" w:cs="Arial" w:eastAsia="Arial" w:hAnsi="Arial"/>
          <w:color w:val="3A4A5A"/>
          <w:sz w:val="22"/>
          <w:szCs w:val="22"/>
        </w:rPr>
        <w:t xml:space="preserve">Refer employees to appropriate support services, including counselling and legal assistance</w:t>
      </w:r>
    </w:p>
    <w:p>
      <w:pPr>
        <w:pStyle w:val="ListParagraph"/>
        <w:numPr>
          <w:ilvl w:val="0"/>
          <w:numId w:val="2"/>
        </w:numPr>
      </w:pPr>
      <w:r>
        <w:rPr>
          <w:rFonts w:ascii="Arial" w:cs="Arial" w:eastAsia="Arial" w:hAnsi="Arial"/>
          <w:color w:val="3A4A5A"/>
          <w:sz w:val="22"/>
          <w:szCs w:val="22"/>
        </w:rPr>
        <w:t xml:space="preserve">Create a safe reporting mechanism for survivors</w:t>
      </w:r>
    </w:p>
    <w:p>
      <w:pPr>
        <w:pStyle w:val="ListParagraph"/>
        <w:numPr>
          <w:ilvl w:val="0"/>
          <w:numId w:val="2"/>
        </w:numPr>
      </w:pPr>
      <w:r>
        <w:rPr>
          <w:rFonts w:ascii="Arial" w:cs="Arial" w:eastAsia="Arial" w:hAnsi="Arial"/>
          <w:color w:val="3A4A5A"/>
          <w:sz w:val="22"/>
          <w:szCs w:val="22"/>
        </w:rPr>
        <w:t xml:space="preserve">Ensure confidentiality and protection from victimisation</w:t>
      </w:r>
    </w:p>
    <w:p>
      <w:pPr>
        <w:pStyle w:val="Heading2"/>
      </w:pPr>
      <w:r>
        <w:t xml:space="preserve">10. LGBTQIA+ Inclusion</w:t>
      </w:r>
    </w:p>
    <w:p>
      <w:pPr>
        <w:spacing w:after="60" w:before="60"/>
      </w:pPr>
      <w:r>
        <w:rPr>
          <w:rFonts w:ascii="Arial" w:cs="Arial" w:eastAsia="Arial" w:hAnsi="Arial"/>
          <w:b w:val="false"/>
          <w:bCs w:val="false"/>
          <w:color w:val="3A4A5A"/>
          <w:sz w:val="22"/>
          <w:szCs w:val="22"/>
        </w:rPr>
        <w:t xml:space="preserve">Jera Consulting is committed to creating an inclusive and affirming workplace for LGBTQIA+ employees. The company will:</w:t>
      </w:r>
    </w:p>
    <w:p>
      <w:pPr>
        <w:pStyle w:val="ListParagraph"/>
        <w:numPr>
          <w:ilvl w:val="0"/>
          <w:numId w:val="2"/>
        </w:numPr>
      </w:pPr>
      <w:r>
        <w:rPr>
          <w:rFonts w:ascii="Arial" w:cs="Arial" w:eastAsia="Arial" w:hAnsi="Arial"/>
          <w:color w:val="3A4A5A"/>
          <w:sz w:val="22"/>
          <w:szCs w:val="22"/>
        </w:rPr>
        <w:t xml:space="preserve">Prohibit discrimination based on sexual orientation, gender identity, or gender expression</w:t>
      </w:r>
    </w:p>
    <w:p>
      <w:pPr>
        <w:pStyle w:val="ListParagraph"/>
        <w:numPr>
          <w:ilvl w:val="0"/>
          <w:numId w:val="2"/>
        </w:numPr>
      </w:pPr>
      <w:r>
        <w:rPr>
          <w:rFonts w:ascii="Arial" w:cs="Arial" w:eastAsia="Arial" w:hAnsi="Arial"/>
          <w:color w:val="3A4A5A"/>
          <w:sz w:val="22"/>
          <w:szCs w:val="22"/>
        </w:rPr>
        <w:t xml:space="preserve">Provide benefits and leave entitlements that recognise diverse family structures</w:t>
      </w:r>
    </w:p>
    <w:p>
      <w:pPr>
        <w:pStyle w:val="ListParagraph"/>
        <w:numPr>
          <w:ilvl w:val="0"/>
          <w:numId w:val="2"/>
        </w:numPr>
      </w:pPr>
      <w:r>
        <w:rPr>
          <w:rFonts w:ascii="Arial" w:cs="Arial" w:eastAsia="Arial" w:hAnsi="Arial"/>
          <w:color w:val="3A4A5A"/>
          <w:sz w:val="22"/>
          <w:szCs w:val="22"/>
        </w:rPr>
        <w:t xml:space="preserve">Support gender transition with reasonable accommodation and discretion</w:t>
      </w:r>
    </w:p>
    <w:p>
      <w:pPr>
        <w:pStyle w:val="ListParagraph"/>
        <w:numPr>
          <w:ilvl w:val="0"/>
          <w:numId w:val="2"/>
        </w:numPr>
      </w:pPr>
      <w:r>
        <w:rPr>
          <w:rFonts w:ascii="Arial" w:cs="Arial" w:eastAsia="Arial" w:hAnsi="Arial"/>
          <w:color w:val="3A4A5A"/>
          <w:sz w:val="22"/>
          <w:szCs w:val="22"/>
        </w:rPr>
        <w:t xml:space="preserve">Promote respect and understanding through training and awareness campaigns</w:t>
      </w:r>
    </w:p>
    <w:p>
      <w:pPr>
        <w:pStyle w:val="ListParagraph"/>
        <w:numPr>
          <w:ilvl w:val="0"/>
          <w:numId w:val="2"/>
        </w:numPr>
      </w:pPr>
      <w:r>
        <w:rPr>
          <w:rFonts w:ascii="Arial" w:cs="Arial" w:eastAsia="Arial" w:hAnsi="Arial"/>
          <w:color w:val="3A4A5A"/>
          <w:sz w:val="22"/>
          <w:szCs w:val="22"/>
        </w:rPr>
        <w:t xml:space="preserve">Address and prevent harassment and discrimination against LGBTQIA+ employees</w:t>
      </w:r>
    </w:p>
    <w:p>
      <w:pPr>
        <w:pStyle w:val="Heading2"/>
      </w:pPr>
      <w:r>
        <w:t xml:space="preserve">11. Key Implementation Areas</w:t>
      </w:r>
    </w:p>
    <w:p>
      <w:pPr>
        <w:pStyle w:val="Heading3"/>
      </w:pPr>
      <w:r>
        <w:t xml:space="preserve">11.1 Recruitment and Selection</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Advertise vacancies to reach diverse candidate pools</w:t>
      </w:r>
    </w:p>
    <w:p>
      <w:pPr>
        <w:pStyle w:val="ListParagraph"/>
        <w:numPr>
          <w:ilvl w:val="0"/>
          <w:numId w:val="2"/>
        </w:numPr>
      </w:pPr>
      <w:r>
        <w:rPr>
          <w:rFonts w:ascii="Arial" w:cs="Arial" w:eastAsia="Arial" w:hAnsi="Arial"/>
          <w:color w:val="3A4A5A"/>
          <w:sz w:val="22"/>
          <w:szCs w:val="22"/>
        </w:rPr>
        <w:t xml:space="preserve">Use inclusive recruitment processes that reduce bias</w:t>
      </w:r>
    </w:p>
    <w:p>
      <w:pPr>
        <w:pStyle w:val="ListParagraph"/>
        <w:numPr>
          <w:ilvl w:val="0"/>
          <w:numId w:val="2"/>
        </w:numPr>
      </w:pPr>
      <w:r>
        <w:rPr>
          <w:rFonts w:ascii="Arial" w:cs="Arial" w:eastAsia="Arial" w:hAnsi="Arial"/>
          <w:color w:val="3A4A5A"/>
          <w:sz w:val="22"/>
          <w:szCs w:val="22"/>
        </w:rPr>
        <w:t xml:space="preserve">Consider equity goals when shortlisting and selecting candidates</w:t>
      </w:r>
    </w:p>
    <w:p>
      <w:pPr>
        <w:pStyle w:val="ListParagraph"/>
        <w:numPr>
          <w:ilvl w:val="0"/>
          <w:numId w:val="2"/>
        </w:numPr>
      </w:pPr>
      <w:r>
        <w:rPr>
          <w:rFonts w:ascii="Arial" w:cs="Arial" w:eastAsia="Arial" w:hAnsi="Arial"/>
          <w:color w:val="3A4A5A"/>
          <w:sz w:val="22"/>
          <w:szCs w:val="22"/>
        </w:rPr>
        <w:t xml:space="preserve">Provide feedback to unsuccessful designated group candidates</w:t>
      </w:r>
    </w:p>
    <w:p>
      <w:pPr>
        <w:pStyle w:val="Heading3"/>
      </w:pPr>
      <w:r>
        <w:t xml:space="preserve">11.2 Career Development and Promotion</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Identify and develop high-potential employees from designated groups</w:t>
      </w:r>
    </w:p>
    <w:p>
      <w:pPr>
        <w:pStyle w:val="ListParagraph"/>
        <w:numPr>
          <w:ilvl w:val="0"/>
          <w:numId w:val="2"/>
        </w:numPr>
      </w:pPr>
      <w:r>
        <w:rPr>
          <w:rFonts w:ascii="Arial" w:cs="Arial" w:eastAsia="Arial" w:hAnsi="Arial"/>
          <w:color w:val="3A4A5A"/>
          <w:sz w:val="22"/>
          <w:szCs w:val="22"/>
        </w:rPr>
        <w:t xml:space="preserve">Provide mentoring and sponsorship opportunities</w:t>
      </w:r>
    </w:p>
    <w:p>
      <w:pPr>
        <w:pStyle w:val="ListParagraph"/>
        <w:numPr>
          <w:ilvl w:val="0"/>
          <w:numId w:val="2"/>
        </w:numPr>
      </w:pPr>
      <w:r>
        <w:rPr>
          <w:rFonts w:ascii="Arial" w:cs="Arial" w:eastAsia="Arial" w:hAnsi="Arial"/>
          <w:color w:val="3A4A5A"/>
          <w:sz w:val="22"/>
          <w:szCs w:val="22"/>
        </w:rPr>
        <w:t xml:space="preserve">Ensure fair and transparent promotion procedures</w:t>
      </w:r>
    </w:p>
    <w:p>
      <w:pPr>
        <w:pStyle w:val="ListParagraph"/>
        <w:numPr>
          <w:ilvl w:val="0"/>
          <w:numId w:val="2"/>
        </w:numPr>
      </w:pPr>
      <w:r>
        <w:rPr>
          <w:rFonts w:ascii="Arial" w:cs="Arial" w:eastAsia="Arial" w:hAnsi="Arial"/>
          <w:color w:val="3A4A5A"/>
          <w:sz w:val="22"/>
          <w:szCs w:val="22"/>
        </w:rPr>
        <w:t xml:space="preserve">Address barriers to advancement for designated group members</w:t>
      </w:r>
    </w:p>
    <w:p>
      <w:pPr>
        <w:pStyle w:val="Heading3"/>
      </w:pPr>
      <w:r>
        <w:t xml:space="preserve">11.3 Training and Skills Development</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Offer targeted training to build skills in underrepresented groups</w:t>
      </w:r>
    </w:p>
    <w:p>
      <w:pPr>
        <w:pStyle w:val="ListParagraph"/>
        <w:numPr>
          <w:ilvl w:val="0"/>
          <w:numId w:val="2"/>
        </w:numPr>
      </w:pPr>
      <w:r>
        <w:rPr>
          <w:rFonts w:ascii="Arial" w:cs="Arial" w:eastAsia="Arial" w:hAnsi="Arial"/>
          <w:color w:val="3A4A5A"/>
          <w:sz w:val="22"/>
          <w:szCs w:val="22"/>
        </w:rPr>
        <w:t xml:space="preserve">Fund further education and professional qualifications</w:t>
      </w:r>
    </w:p>
    <w:p>
      <w:pPr>
        <w:pStyle w:val="ListParagraph"/>
        <w:numPr>
          <w:ilvl w:val="0"/>
          <w:numId w:val="2"/>
        </w:numPr>
      </w:pPr>
      <w:r>
        <w:rPr>
          <w:rFonts w:ascii="Arial" w:cs="Arial" w:eastAsia="Arial" w:hAnsi="Arial"/>
          <w:color w:val="3A4A5A"/>
          <w:sz w:val="22"/>
          <w:szCs w:val="22"/>
        </w:rPr>
        <w:t xml:space="preserve">Provide leadership development for women and Black employees</w:t>
      </w:r>
    </w:p>
    <w:p>
      <w:pPr>
        <w:pStyle w:val="Heading3"/>
      </w:pPr>
      <w:r>
        <w:t xml:space="preserve">11.4 Remuneration and Benefits</w:t>
      </w:r>
    </w:p>
    <w:p>
      <w:pPr>
        <w:spacing w:after="60" w:before="60"/>
      </w:pPr>
      <w:r>
        <w:rPr>
          <w:rFonts w:ascii="Arial" w:cs="Arial" w:eastAsia="Arial" w:hAnsi="Arial"/>
          <w:b w:val="false"/>
          <w:bCs w:val="false"/>
          <w:color w:val="3A4A5A"/>
          <w:sz w:val="22"/>
          <w:szCs w:val="22"/>
        </w:rPr>
        <w:t xml:space="preserve">The company will:</w:t>
      </w:r>
    </w:p>
    <w:p>
      <w:pPr>
        <w:pStyle w:val="ListParagraph"/>
        <w:numPr>
          <w:ilvl w:val="0"/>
          <w:numId w:val="2"/>
        </w:numPr>
      </w:pPr>
      <w:r>
        <w:rPr>
          <w:rFonts w:ascii="Arial" w:cs="Arial" w:eastAsia="Arial" w:hAnsi="Arial"/>
          <w:color w:val="3A4A5A"/>
          <w:sz w:val="22"/>
          <w:szCs w:val="22"/>
        </w:rPr>
        <w:t xml:space="preserve">Conduct regular pay equity audits to ensure equal pay for equal value</w:t>
      </w:r>
    </w:p>
    <w:p>
      <w:pPr>
        <w:pStyle w:val="ListParagraph"/>
        <w:numPr>
          <w:ilvl w:val="0"/>
          <w:numId w:val="2"/>
        </w:numPr>
      </w:pPr>
      <w:r>
        <w:rPr>
          <w:rFonts w:ascii="Arial" w:cs="Arial" w:eastAsia="Arial" w:hAnsi="Arial"/>
          <w:color w:val="3A4A5A"/>
          <w:sz w:val="22"/>
          <w:szCs w:val="22"/>
        </w:rPr>
        <w:t xml:space="preserve">Address any identified pay gaps</w:t>
      </w:r>
    </w:p>
    <w:p>
      <w:pPr>
        <w:pStyle w:val="ListParagraph"/>
        <w:numPr>
          <w:ilvl w:val="0"/>
          <w:numId w:val="2"/>
        </w:numPr>
      </w:pPr>
      <w:r>
        <w:rPr>
          <w:rFonts w:ascii="Arial" w:cs="Arial" w:eastAsia="Arial" w:hAnsi="Arial"/>
          <w:color w:val="3A4A5A"/>
          <w:sz w:val="22"/>
          <w:szCs w:val="22"/>
        </w:rPr>
        <w:t xml:space="preserve">Offer benefits that are inclusive and non-discriminatory</w:t>
      </w:r>
    </w:p>
    <w:p>
      <w:pPr>
        <w:pStyle w:val="Heading2"/>
      </w:pPr>
      <w:r>
        <w:t xml:space="preserve">12. Reporting and Monitoring</w:t>
      </w:r>
    </w:p>
    <w:p>
      <w:pPr>
        <w:spacing w:after="60" w:before="60"/>
      </w:pPr>
      <w:r>
        <w:rPr>
          <w:rFonts w:ascii="Arial" w:cs="Arial" w:eastAsia="Arial" w:hAnsi="Arial"/>
          <w:b w:val="false"/>
          <w:bCs w:val="false"/>
          <w:color w:val="3A4A5A"/>
          <w:sz w:val="22"/>
          <w:szCs w:val="22"/>
        </w:rPr>
        <w:t xml:space="preserve">Jera Consulting will:</w:t>
      </w:r>
    </w:p>
    <w:p>
      <w:pPr>
        <w:pStyle w:val="ListParagraph"/>
        <w:numPr>
          <w:ilvl w:val="0"/>
          <w:numId w:val="2"/>
        </w:numPr>
      </w:pPr>
      <w:r>
        <w:rPr>
          <w:rFonts w:ascii="Arial" w:cs="Arial" w:eastAsia="Arial" w:hAnsi="Arial"/>
          <w:color w:val="3A4A5A"/>
          <w:sz w:val="22"/>
          <w:szCs w:val="22"/>
        </w:rPr>
        <w:t xml:space="preserve">Conduct annual workforce demographic analysis</w:t>
      </w:r>
    </w:p>
    <w:p>
      <w:pPr>
        <w:pStyle w:val="ListParagraph"/>
        <w:numPr>
          <w:ilvl w:val="0"/>
          <w:numId w:val="2"/>
        </w:numPr>
      </w:pPr>
      <w:r>
        <w:rPr>
          <w:rFonts w:ascii="Arial" w:cs="Arial" w:eastAsia="Arial" w:hAnsi="Arial"/>
          <w:color w:val="3A4A5A"/>
          <w:sz w:val="22"/>
          <w:szCs w:val="22"/>
        </w:rPr>
        <w:t xml:space="preserve">Report to the Department of Employment and Labour as required by law</w:t>
      </w:r>
    </w:p>
    <w:p>
      <w:pPr>
        <w:pStyle w:val="ListParagraph"/>
        <w:numPr>
          <w:ilvl w:val="0"/>
          <w:numId w:val="2"/>
        </w:numPr>
      </w:pPr>
      <w:r>
        <w:rPr>
          <w:rFonts w:ascii="Arial" w:cs="Arial" w:eastAsia="Arial" w:hAnsi="Arial"/>
          <w:color w:val="3A4A5A"/>
          <w:sz w:val="22"/>
          <w:szCs w:val="22"/>
        </w:rPr>
        <w:t xml:space="preserve">Monitor progress against equity objectives</w:t>
      </w:r>
    </w:p>
    <w:p>
      <w:pPr>
        <w:pStyle w:val="ListParagraph"/>
        <w:numPr>
          <w:ilvl w:val="0"/>
          <w:numId w:val="2"/>
        </w:numPr>
      </w:pPr>
      <w:r>
        <w:rPr>
          <w:rFonts w:ascii="Arial" w:cs="Arial" w:eastAsia="Arial" w:hAnsi="Arial"/>
          <w:color w:val="3A4A5A"/>
          <w:sz w:val="22"/>
          <w:szCs w:val="22"/>
        </w:rPr>
        <w:t xml:space="preserve">Adjust strategies based on data and feedback</w:t>
      </w:r>
    </w:p>
    <w:p>
      <w:pPr>
        <w:pStyle w:val="ListParagraph"/>
        <w:numPr>
          <w:ilvl w:val="0"/>
          <w:numId w:val="2"/>
        </w:numPr>
      </w:pPr>
      <w:r>
        <w:rPr>
          <w:rFonts w:ascii="Arial" w:cs="Arial" w:eastAsia="Arial" w:hAnsi="Arial"/>
          <w:color w:val="3A4A5A"/>
          <w:sz w:val="22"/>
          <w:szCs w:val="22"/>
        </w:rPr>
        <w:t xml:space="preserve">Maintain transparent reporting to employees and stakeholders</w:t>
      </w:r>
    </w:p>
    <w:p>
      <w:pPr>
        <w:pStyle w:val="Heading2"/>
      </w:pPr>
      <w:r>
        <w:t xml:space="preserve">13. Grievance and Dispute Resolution</w:t>
      </w:r>
    </w:p>
    <w:p>
      <w:pPr>
        <w:spacing w:after="60" w:before="60"/>
      </w:pPr>
      <w:r>
        <w:rPr>
          <w:rFonts w:ascii="Arial" w:cs="Arial" w:eastAsia="Arial" w:hAnsi="Arial"/>
          <w:b w:val="false"/>
          <w:bCs w:val="false"/>
          <w:color w:val="3A4A5A"/>
          <w:sz w:val="22"/>
          <w:szCs w:val="22"/>
        </w:rPr>
        <w:t xml:space="preserve">Employees who believe they have been subjected to unfair discrimination or whose employment equity rights have been violated may lodge a formal grievance in accordance with the company's Employee Relations Policy or refer the matter directly to the Commission for Conciliation, Mediation and Arbitration (CCMA).</w:t>
      </w:r>
    </w:p>
    <w:p>
      <w:pPr>
        <w:pStyle w:val="Heading2"/>
      </w:pPr>
      <w:r>
        <w:t xml:space="preserve">14. Legislative Framework</w:t>
      </w:r>
    </w:p>
    <w:p>
      <w:pPr>
        <w:spacing w:after="60" w:before="60"/>
      </w:pPr>
      <w:r>
        <w:rPr>
          <w:rFonts w:ascii="Arial" w:cs="Arial" w:eastAsia="Arial" w:hAnsi="Arial"/>
          <w:b w:val="false"/>
          <w:bCs w:val="false"/>
          <w:color w:val="3A4A5A"/>
          <w:sz w:val="22"/>
          <w:szCs w:val="22"/>
        </w:rPr>
        <w:t xml:space="preserve">This policy is based on and complies with:</w:t>
      </w:r>
    </w:p>
    <w:p>
      <w:pPr>
        <w:pStyle w:val="ListParagraph"/>
        <w:numPr>
          <w:ilvl w:val="0"/>
          <w:numId w:val="2"/>
        </w:numPr>
      </w:pPr>
      <w:r>
        <w:rPr>
          <w:rFonts w:ascii="Arial" w:cs="Arial" w:eastAsia="Arial" w:hAnsi="Arial"/>
          <w:color w:val="3A4A5A"/>
          <w:sz w:val="22"/>
          <w:szCs w:val="22"/>
        </w:rPr>
        <w:t xml:space="preserve">The Employment Equity Act, 1998, as amended by the Employment Equity Amendment Act, 4 of 2022</w:t>
      </w:r>
    </w:p>
    <w:p>
      <w:pPr>
        <w:pStyle w:val="ListParagraph"/>
        <w:numPr>
          <w:ilvl w:val="0"/>
          <w:numId w:val="2"/>
        </w:numPr>
      </w:pPr>
      <w:r>
        <w:rPr>
          <w:rFonts w:ascii="Arial" w:cs="Arial" w:eastAsia="Arial" w:hAnsi="Arial"/>
          <w:color w:val="3A4A5A"/>
          <w:sz w:val="22"/>
          <w:szCs w:val="22"/>
        </w:rPr>
        <w:t xml:space="preserve">The Constitution of the Republic of South Africa, 1996</w:t>
      </w:r>
    </w:p>
    <w:p>
      <w:pPr>
        <w:pStyle w:val="ListParagraph"/>
        <w:numPr>
          <w:ilvl w:val="0"/>
          <w:numId w:val="2"/>
        </w:numPr>
      </w:pPr>
      <w:r>
        <w:rPr>
          <w:rFonts w:ascii="Arial" w:cs="Arial" w:eastAsia="Arial" w:hAnsi="Arial"/>
          <w:color w:val="3A4A5A"/>
          <w:sz w:val="22"/>
          <w:szCs w:val="22"/>
        </w:rPr>
        <w:t xml:space="preserve">The Labour Relations Act, 1995</w:t>
      </w:r>
    </w:p>
    <w:p>
      <w:pPr>
        <w:pStyle w:val="ListParagraph"/>
        <w:numPr>
          <w:ilvl w:val="0"/>
          <w:numId w:val="2"/>
        </w:numPr>
      </w:pPr>
      <w:r>
        <w:rPr>
          <w:rFonts w:ascii="Arial" w:cs="Arial" w:eastAsia="Arial" w:hAnsi="Arial"/>
          <w:color w:val="3A4A5A"/>
          <w:sz w:val="22"/>
          <w:szCs w:val="22"/>
        </w:rPr>
        <w:t xml:space="preserve">The Basic Conditions of Employment Act, 1997</w:t>
      </w:r>
    </w:p>
    <w:p>
      <w:pPr>
        <w:pStyle w:val="ListParagraph"/>
        <w:numPr>
          <w:ilvl w:val="0"/>
          <w:numId w:val="2"/>
        </w:numPr>
      </w:pPr>
      <w:r>
        <w:rPr>
          <w:rFonts w:ascii="Arial" w:cs="Arial" w:eastAsia="Arial" w:hAnsi="Arial"/>
          <w:color w:val="3A4A5A"/>
          <w:sz w:val="22"/>
          <w:szCs w:val="22"/>
        </w:rPr>
        <w:t xml:space="preserve">The Broad-Based Black Economic Empowerment Act, 2003</w:t>
      </w:r>
    </w:p>
    <w:p>
      <w:pPr>
        <w:pStyle w:val="ListParagraph"/>
        <w:numPr>
          <w:ilvl w:val="0"/>
          <w:numId w:val="2"/>
        </w:numPr>
      </w:pPr>
      <w:r>
        <w:rPr>
          <w:rFonts w:ascii="Arial" w:cs="Arial" w:eastAsia="Arial" w:hAnsi="Arial"/>
          <w:color w:val="3A4A5A"/>
          <w:sz w:val="22"/>
          <w:szCs w:val="22"/>
        </w:rPr>
        <w:t xml:space="preserve">The Protection of Personal Information Act, 2020</w:t>
      </w:r>
    </w:p>
    <w:p>
      <w:pPr>
        <w:pStyle w:val="Heading2"/>
      </w:pPr>
      <w:r>
        <w:t xml:space="preserve">15. Implementation and Review</w:t>
      </w:r>
    </w:p>
    <w:p>
      <w:pPr>
        <w:spacing w:after="60" w:before="60"/>
      </w:pPr>
      <w:r>
        <w:rPr>
          <w:rFonts w:ascii="Arial" w:cs="Arial" w:eastAsia="Arial" w:hAnsi="Arial"/>
          <w:b w:val="false"/>
          <w:bCs w:val="false"/>
          <w:color w:val="3A4A5A"/>
          <w:sz w:val="22"/>
          <w:szCs w:val="22"/>
        </w:rPr>
        <w:t xml:space="preserve">This policy is effective from 1 May 2026. It will be reviewed annually and amended to reflect legislative changes, best practices, and progress towards employment equity objectives.</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433489-4221-45ED-84DC-DDB9951A2BD8}"/>
</file>

<file path=customXml/itemProps2.xml><?xml version="1.0" encoding="utf-8"?>
<ds:datastoreItem xmlns:ds="http://schemas.openxmlformats.org/officeDocument/2006/customXml" ds:itemID="{AD021B48-72E9-4BAB-845C-583EC16E1F77}"/>
</file>

<file path=customXml/itemProps3.xml><?xml version="1.0" encoding="utf-8"?>
<ds:datastoreItem xmlns:ds="http://schemas.openxmlformats.org/officeDocument/2006/customXml" ds:itemID="{1DF0C755-EEE2-4248-9837-878356FB11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2026-04-13T13:54:04Z</dcterms:created>
  <dcterms:modified xsi:type="dcterms:W3CDTF">2026-04-13T13:54:04Z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