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50" w:val="clear"/>
        <w:tabs>
          <w:tab w:val="right" w:pos="10466"/>
        </w:tabs>
        <w:spacing w:after="120" w:before="0"/>
      </w:pPr>
      <w:r>
        <w:rPr>
          <w:rFonts w:ascii="Arial" w:cs="Arial" w:eastAsia="Arial" w:hAnsi="Arial"/>
          <w:b w:val="false"/>
          <w:bCs w:val="false"/>
          <w:color w:val="A0BADE"/>
          <w:sz w:val="17"/>
          <w:szCs w:val="17"/>
        </w:rPr>
        <w:t xml:space="preserve">Version 1.0  |  April 2026  |  Prepared by Jera Consulting (Pty) Ltd</w:t>
      </w:r>
      <w:r>
        <w:rPr>
          <w:rFonts w:ascii="Arial" w:cs="Arial" w:eastAsia="Arial" w:hAnsi="Arial"/>
          <w:b/>
          <w:bCs/>
          <w:color w:val="1B6FFF"/>
          <w:sz w:val="17"/>
          <w:szCs w:val="17"/>
        </w:rPr>
        <w:t xml:space="preserve">	JERA-POL-HR016</w:t>
      </w:r>
    </w:p>
    <w:p>
      <w:pPr>
        <w:pStyle w:val="Heading1"/>
      </w:pPr>
      <w:r>
        <w:t xml:space="preserve">Disciplinary Code and Procedure</w:t>
      </w:r>
    </w:p>
    <w:p>
      <w:pPr>
        <w:spacing w:after="200" w:before="0"/>
        <w:jc w:val="center"/>
      </w:pPr>
      <w:r>
        <w:rPr>
          <w:rFonts w:ascii="Arial" w:cs="Arial" w:eastAsia="Arial" w:hAnsi="Arial"/>
          <w:color w:val="5A6A7A"/>
          <w:sz w:val="22"/>
          <w:szCs w:val="22"/>
        </w:rPr>
        <w:t xml:space="preserve">Jera Consulting (Pty) Ltd</w:t>
      </w:r>
    </w:p>
    <w:p>
      <w:pPr>
        <w:spacing w:after="20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2617"/>
        <w:gridCol w:w="2616"/>
      </w:tblGrid>
      <w:tr>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Approval</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Job Title / Role</w:t>
            </w:r>
          </w:p>
        </w:tc>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Signature &amp; 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5A6A7A"/>
                <w:sz w:val="18"/>
                <w:szCs w:val="18"/>
              </w:rPr>
              <w:t xml:space="preserve">Document Owner</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Operations</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5A6A7A"/>
                <w:sz w:val="18"/>
                <w:szCs w:val="18"/>
              </w:rPr>
              <w:t xml:space="preserve">Approved by</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Management</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bl>
    <w:p>
      <w:pPr>
        <w:spacing w:after="0" w:before="200"/>
      </w:pPr>
    </w:p>
    <w:p>
      <w:pPr>
        <w:pStyle w:val="Heading2"/>
      </w:pPr>
      <w:r>
        <w:t xml:space="preserve">1. Objective</w:t>
      </w:r>
    </w:p>
    <w:p>
      <w:pPr>
        <w:spacing w:after="60" w:before="60"/>
      </w:pPr>
      <w:r>
        <w:rPr>
          <w:rFonts w:ascii="Arial" w:cs="Arial" w:eastAsia="Arial" w:hAnsi="Arial"/>
          <w:b w:val="false"/>
          <w:bCs w:val="false"/>
          <w:color w:val="3A4A5A"/>
          <w:sz w:val="22"/>
          <w:szCs w:val="22"/>
        </w:rPr>
        <w:t xml:space="preserve">To establish a fair, transparent and consistent disciplinary procedure that promotes good conduct and accountability in the workplace, while affording employees the right to natural justice in accordance with the Labour Relations Act, 66 of 1995 (LRA).</w:t>
      </w:r>
    </w:p>
    <w:p>
      <w:pPr>
        <w:pStyle w:val="Heading2"/>
      </w:pPr>
      <w:r>
        <w:t xml:space="preserve">2. Guiding Principles</w:t>
      </w:r>
    </w:p>
    <w:p>
      <w:pPr>
        <w:pStyle w:val="ListParagraph"/>
        <w:numPr>
          <w:ilvl w:val="0"/>
          <w:numId w:val="2"/>
        </w:numPr>
      </w:pPr>
      <w:r>
        <w:rPr>
          <w:rFonts w:ascii="Arial" w:cs="Arial" w:eastAsia="Arial" w:hAnsi="Arial"/>
          <w:color w:val="3A4A5A"/>
          <w:sz w:val="22"/>
          <w:szCs w:val="22"/>
        </w:rPr>
        <w:t xml:space="preserve">Fairness and Natural Justice: Employees have the right to a fair hearing and representation.</w:t>
      </w:r>
    </w:p>
    <w:p>
      <w:pPr>
        <w:pStyle w:val="ListParagraph"/>
        <w:numPr>
          <w:ilvl w:val="0"/>
          <w:numId w:val="2"/>
        </w:numPr>
      </w:pPr>
      <w:r>
        <w:rPr>
          <w:rFonts w:ascii="Arial" w:cs="Arial" w:eastAsia="Arial" w:hAnsi="Arial"/>
          <w:color w:val="3A4A5A"/>
          <w:sz w:val="22"/>
          <w:szCs w:val="22"/>
        </w:rPr>
        <w:t xml:space="preserve">Transparency: Clear communication of expectations and consequences.</w:t>
      </w:r>
    </w:p>
    <w:p>
      <w:pPr>
        <w:pStyle w:val="ListParagraph"/>
        <w:numPr>
          <w:ilvl w:val="0"/>
          <w:numId w:val="2"/>
        </w:numPr>
      </w:pPr>
      <w:r>
        <w:rPr>
          <w:rFonts w:ascii="Arial" w:cs="Arial" w:eastAsia="Arial" w:hAnsi="Arial"/>
          <w:color w:val="3A4A5A"/>
          <w:sz w:val="22"/>
          <w:szCs w:val="22"/>
        </w:rPr>
        <w:t xml:space="preserve">Progressive Discipline: Escalation from informal warnings through formal dismissal.</w:t>
      </w:r>
    </w:p>
    <w:p>
      <w:pPr>
        <w:pStyle w:val="ListParagraph"/>
        <w:numPr>
          <w:ilvl w:val="0"/>
          <w:numId w:val="2"/>
        </w:numPr>
      </w:pPr>
      <w:r>
        <w:rPr>
          <w:rFonts w:ascii="Arial" w:cs="Arial" w:eastAsia="Arial" w:hAnsi="Arial"/>
          <w:color w:val="3A4A5A"/>
          <w:sz w:val="22"/>
          <w:szCs w:val="22"/>
        </w:rPr>
        <w:t xml:space="preserve">Proportionality: Penalties must be commensurate with the offence.</w:t>
      </w:r>
    </w:p>
    <w:p>
      <w:pPr>
        <w:pStyle w:val="ListParagraph"/>
        <w:numPr>
          <w:ilvl w:val="0"/>
          <w:numId w:val="2"/>
        </w:numPr>
      </w:pPr>
      <w:r>
        <w:rPr>
          <w:rFonts w:ascii="Arial" w:cs="Arial" w:eastAsia="Arial" w:hAnsi="Arial"/>
          <w:color w:val="3A4A5A"/>
          <w:sz w:val="22"/>
          <w:szCs w:val="22"/>
        </w:rPr>
        <w:t xml:space="preserve">Consistency: Similar offences treated uniformly across the organisation.</w:t>
      </w:r>
    </w:p>
    <w:p>
      <w:pPr>
        <w:pStyle w:val="ListParagraph"/>
        <w:numPr>
          <w:ilvl w:val="0"/>
          <w:numId w:val="2"/>
        </w:numPr>
      </w:pPr>
      <w:r>
        <w:rPr>
          <w:rFonts w:ascii="Arial" w:cs="Arial" w:eastAsia="Arial" w:hAnsi="Arial"/>
          <w:color w:val="3A4A5A"/>
          <w:sz w:val="22"/>
          <w:szCs w:val="22"/>
        </w:rPr>
        <w:t xml:space="preserve">Rehabilitation: Discipline aims to correct behaviour, not purely punish.</w:t>
      </w:r>
    </w:p>
    <w:p>
      <w:pPr>
        <w:pStyle w:val="ListParagraph"/>
        <w:numPr>
          <w:ilvl w:val="0"/>
          <w:numId w:val="2"/>
        </w:numPr>
      </w:pPr>
      <w:r>
        <w:rPr>
          <w:rFonts w:ascii="Arial" w:cs="Arial" w:eastAsia="Arial" w:hAnsi="Arial"/>
          <w:color w:val="3A4A5A"/>
          <w:sz w:val="22"/>
          <w:szCs w:val="22"/>
        </w:rPr>
        <w:t xml:space="preserve">Compliance: Adherence to South African labour law and CCMA standards.</w:t>
      </w:r>
    </w:p>
    <w:p>
      <w:pPr>
        <w:pStyle w:val="Heading2"/>
      </w:pPr>
      <w:r>
        <w:t xml:space="preserve">3. Definitions</w:t>
      </w:r>
    </w:p>
    <w:p>
      <w:pPr>
        <w:pStyle w:val="Heading3"/>
      </w:pPr>
      <w:r>
        <w:t xml:space="preserve">Misconduct</w:t>
      </w:r>
    </w:p>
    <w:p>
      <w:pPr>
        <w:spacing w:after="60" w:before="60"/>
      </w:pPr>
      <w:r>
        <w:rPr>
          <w:rFonts w:ascii="Arial" w:cs="Arial" w:eastAsia="Arial" w:hAnsi="Arial"/>
          <w:b w:val="false"/>
          <w:bCs w:val="false"/>
          <w:color w:val="3A4A5A"/>
          <w:sz w:val="22"/>
          <w:szCs w:val="22"/>
        </w:rPr>
        <w:t xml:space="preserve">Wilful or negligent failure to comply with company policies, procedures, or lawful instructions, or conduct that is incompatible with the satisfactory performance of duties or good faith employment relationship.</w:t>
      </w:r>
    </w:p>
    <w:p>
      <w:pPr>
        <w:pStyle w:val="Heading3"/>
      </w:pPr>
      <w:r>
        <w:t xml:space="preserve">Gross Misconduct</w:t>
      </w:r>
    </w:p>
    <w:p>
      <w:pPr>
        <w:spacing w:after="60" w:before="60"/>
      </w:pPr>
      <w:r>
        <w:rPr>
          <w:rFonts w:ascii="Arial" w:cs="Arial" w:eastAsia="Arial" w:hAnsi="Arial"/>
          <w:b w:val="false"/>
          <w:bCs w:val="false"/>
          <w:color w:val="3A4A5A"/>
          <w:sz w:val="22"/>
          <w:szCs w:val="22"/>
        </w:rPr>
        <w:t xml:space="preserve">Serious breaches of conduct that warrant summary dismissal without notice, including theft, violence, dishonesty, and deliberate sabotage.</w:t>
      </w:r>
    </w:p>
    <w:p>
      <w:pPr>
        <w:pStyle w:val="Heading3"/>
      </w:pPr>
      <w:r>
        <w:t xml:space="preserve">Digital Misconduct</w:t>
      </w:r>
    </w:p>
    <w:p>
      <w:pPr>
        <w:spacing w:after="60" w:before="60"/>
      </w:pPr>
      <w:r>
        <w:rPr>
          <w:rFonts w:ascii="Arial" w:cs="Arial" w:eastAsia="Arial" w:hAnsi="Arial"/>
          <w:b w:val="false"/>
          <w:bCs w:val="false"/>
          <w:color w:val="3A4A5A"/>
          <w:sz w:val="22"/>
          <w:szCs w:val="22"/>
        </w:rPr>
        <w:t xml:space="preserve">Unauthorised access to company systems, misuse of company IT resources, cyberbullying, inappropriate social media conduct related to the company, sharing of confidential information digitally, and violations of POPIA (Protection of Personal Information Act, 2013).</w:t>
      </w:r>
    </w:p>
    <w:p>
      <w:pPr>
        <w:pStyle w:val="Heading2"/>
      </w:pPr>
      <w:r>
        <w:t xml:space="preserve">4. Disciplinary Code</w:t>
      </w:r>
    </w:p>
    <w:p>
      <w:pPr>
        <w:pStyle w:val="Heading3"/>
      </w:pPr>
      <w:r>
        <w:t xml:space="preserve">4.1 Classification of Offences</w:t>
      </w:r>
    </w:p>
    <w:p>
      <w:pPr>
        <w:pStyle w:val="Heading3"/>
      </w:pPr>
      <w:r>
        <w:t xml:space="preserve">Category A: Assault and Violence</w:t>
      </w:r>
    </w:p>
    <w:p>
      <w:pPr>
        <w:pStyle w:val="ListParagraph"/>
        <w:numPr>
          <w:ilvl w:val="0"/>
          <w:numId w:val="2"/>
        </w:numPr>
      </w:pPr>
      <w:r>
        <w:rPr>
          <w:rFonts w:ascii="Arial" w:cs="Arial" w:eastAsia="Arial" w:hAnsi="Arial"/>
          <w:color w:val="3A4A5A"/>
          <w:sz w:val="22"/>
          <w:szCs w:val="22"/>
        </w:rPr>
        <w:t xml:space="preserve">Physical assault on any person on company premises or during company business.</w:t>
      </w:r>
    </w:p>
    <w:p>
      <w:pPr>
        <w:pStyle w:val="ListParagraph"/>
        <w:numPr>
          <w:ilvl w:val="0"/>
          <w:numId w:val="2"/>
        </w:numPr>
      </w:pPr>
      <w:r>
        <w:rPr>
          <w:rFonts w:ascii="Arial" w:cs="Arial" w:eastAsia="Arial" w:hAnsi="Arial"/>
          <w:color w:val="3A4A5A"/>
          <w:sz w:val="22"/>
          <w:szCs w:val="22"/>
        </w:rPr>
        <w:t xml:space="preserve">Threats of violence or intimidating behaviour.</w:t>
      </w:r>
    </w:p>
    <w:p>
      <w:pPr>
        <w:pStyle w:val="ListParagraph"/>
        <w:numPr>
          <w:ilvl w:val="0"/>
          <w:numId w:val="2"/>
        </w:numPr>
      </w:pPr>
      <w:r>
        <w:rPr>
          <w:rFonts w:ascii="Arial" w:cs="Arial" w:eastAsia="Arial" w:hAnsi="Arial"/>
          <w:color w:val="3A4A5A"/>
          <w:sz w:val="22"/>
          <w:szCs w:val="22"/>
        </w:rPr>
        <w:t xml:space="preserve">First offence: Final Written Warning or Dismissal.</w:t>
      </w:r>
    </w:p>
    <w:p>
      <w:pPr>
        <w:pStyle w:val="Heading3"/>
      </w:pPr>
      <w:r>
        <w:t xml:space="preserve">Category B: Breach of Good Faith</w:t>
      </w:r>
    </w:p>
    <w:p>
      <w:pPr>
        <w:pStyle w:val="ListParagraph"/>
        <w:numPr>
          <w:ilvl w:val="0"/>
          <w:numId w:val="2"/>
        </w:numPr>
      </w:pPr>
      <w:r>
        <w:rPr>
          <w:rFonts w:ascii="Arial" w:cs="Arial" w:eastAsia="Arial" w:hAnsi="Arial"/>
          <w:color w:val="3A4A5A"/>
          <w:sz w:val="22"/>
          <w:szCs w:val="22"/>
        </w:rPr>
        <w:t xml:space="preserve">Violation of confidentiality agreements.</w:t>
      </w:r>
    </w:p>
    <w:p>
      <w:pPr>
        <w:pStyle w:val="ListParagraph"/>
        <w:numPr>
          <w:ilvl w:val="0"/>
          <w:numId w:val="2"/>
        </w:numPr>
      </w:pPr>
      <w:r>
        <w:rPr>
          <w:rFonts w:ascii="Arial" w:cs="Arial" w:eastAsia="Arial" w:hAnsi="Arial"/>
          <w:color w:val="3A4A5A"/>
          <w:sz w:val="22"/>
          <w:szCs w:val="22"/>
        </w:rPr>
        <w:t xml:space="preserve">Disclosure of sensitive commercial information.</w:t>
      </w:r>
    </w:p>
    <w:p>
      <w:pPr>
        <w:pStyle w:val="ListParagraph"/>
        <w:numPr>
          <w:ilvl w:val="0"/>
          <w:numId w:val="2"/>
        </w:numPr>
      </w:pPr>
      <w:r>
        <w:rPr>
          <w:rFonts w:ascii="Arial" w:cs="Arial" w:eastAsia="Arial" w:hAnsi="Arial"/>
          <w:color w:val="3A4A5A"/>
          <w:sz w:val="22"/>
          <w:szCs w:val="22"/>
        </w:rPr>
        <w:t xml:space="preserve">Failure to declare conflicts of interest.</w:t>
      </w:r>
    </w:p>
    <w:p>
      <w:pPr>
        <w:pStyle w:val="ListParagraph"/>
        <w:numPr>
          <w:ilvl w:val="0"/>
          <w:numId w:val="2"/>
        </w:numPr>
      </w:pPr>
      <w:r>
        <w:rPr>
          <w:rFonts w:ascii="Arial" w:cs="Arial" w:eastAsia="Arial" w:hAnsi="Arial"/>
          <w:color w:val="3A4A5A"/>
          <w:sz w:val="22"/>
          <w:szCs w:val="22"/>
        </w:rPr>
        <w:t xml:space="preserve">First offence: Written Warning | Second offence: Final Written Warning | Third offence: Dismissal.</w:t>
      </w:r>
    </w:p>
    <w:p>
      <w:pPr>
        <w:pStyle w:val="Heading3"/>
      </w:pPr>
      <w:r>
        <w:t xml:space="preserve">Category C: Damage to or Loss of Company Property</w:t>
      </w:r>
    </w:p>
    <w:p>
      <w:pPr>
        <w:pStyle w:val="ListParagraph"/>
        <w:numPr>
          <w:ilvl w:val="0"/>
          <w:numId w:val="2"/>
        </w:numPr>
      </w:pPr>
      <w:r>
        <w:rPr>
          <w:rFonts w:ascii="Arial" w:cs="Arial" w:eastAsia="Arial" w:hAnsi="Arial"/>
          <w:color w:val="3A4A5A"/>
          <w:sz w:val="22"/>
          <w:szCs w:val="22"/>
        </w:rPr>
        <w:t xml:space="preserve">Negligent or wilful damage to company property.</w:t>
      </w:r>
    </w:p>
    <w:p>
      <w:pPr>
        <w:pStyle w:val="ListParagraph"/>
        <w:numPr>
          <w:ilvl w:val="0"/>
          <w:numId w:val="2"/>
        </w:numPr>
      </w:pPr>
      <w:r>
        <w:rPr>
          <w:rFonts w:ascii="Arial" w:cs="Arial" w:eastAsia="Arial" w:hAnsi="Arial"/>
          <w:color w:val="3A4A5A"/>
          <w:sz w:val="22"/>
          <w:szCs w:val="22"/>
        </w:rPr>
        <w:t xml:space="preserve">Theft or loss of company assets.</w:t>
      </w:r>
    </w:p>
    <w:p>
      <w:pPr>
        <w:pStyle w:val="ListParagraph"/>
        <w:numPr>
          <w:ilvl w:val="0"/>
          <w:numId w:val="2"/>
        </w:numPr>
      </w:pPr>
      <w:r>
        <w:rPr>
          <w:rFonts w:ascii="Arial" w:cs="Arial" w:eastAsia="Arial" w:hAnsi="Arial"/>
          <w:color w:val="3A4A5A"/>
          <w:sz w:val="22"/>
          <w:szCs w:val="22"/>
        </w:rPr>
        <w:t xml:space="preserve">Unauthorised use of company property.</w:t>
      </w:r>
    </w:p>
    <w:p>
      <w:pPr>
        <w:pStyle w:val="ListParagraph"/>
        <w:numPr>
          <w:ilvl w:val="0"/>
          <w:numId w:val="2"/>
        </w:numPr>
      </w:pPr>
      <w:r>
        <w:rPr>
          <w:rFonts w:ascii="Arial" w:cs="Arial" w:eastAsia="Arial" w:hAnsi="Arial"/>
          <w:color w:val="3A4A5A"/>
          <w:sz w:val="22"/>
          <w:szCs w:val="22"/>
        </w:rPr>
        <w:t xml:space="preserve">First offence: Written Warning (if negligent) or Final Written Warning (if wilful) | Subsequent: Dismissal.</w:t>
      </w:r>
    </w:p>
    <w:p>
      <w:pPr>
        <w:pStyle w:val="Heading3"/>
      </w:pPr>
      <w:r>
        <w:t xml:space="preserve">Category D: Theft and Dishonesty</w:t>
      </w:r>
    </w:p>
    <w:p>
      <w:pPr>
        <w:pStyle w:val="ListParagraph"/>
        <w:numPr>
          <w:ilvl w:val="0"/>
          <w:numId w:val="2"/>
        </w:numPr>
      </w:pPr>
      <w:r>
        <w:rPr>
          <w:rFonts w:ascii="Arial" w:cs="Arial" w:eastAsia="Arial" w:hAnsi="Arial"/>
          <w:color w:val="3A4A5A"/>
          <w:sz w:val="22"/>
          <w:szCs w:val="22"/>
        </w:rPr>
        <w:t xml:space="preserve">Theft of company or colleague property.</w:t>
      </w:r>
    </w:p>
    <w:p>
      <w:pPr>
        <w:pStyle w:val="ListParagraph"/>
        <w:numPr>
          <w:ilvl w:val="0"/>
          <w:numId w:val="2"/>
        </w:numPr>
      </w:pPr>
      <w:r>
        <w:rPr>
          <w:rFonts w:ascii="Arial" w:cs="Arial" w:eastAsia="Arial" w:hAnsi="Arial"/>
          <w:color w:val="3A4A5A"/>
          <w:sz w:val="22"/>
          <w:szCs w:val="22"/>
        </w:rPr>
        <w:t xml:space="preserve">Falsification of records or documents.</w:t>
      </w:r>
    </w:p>
    <w:p>
      <w:pPr>
        <w:pStyle w:val="ListParagraph"/>
        <w:numPr>
          <w:ilvl w:val="0"/>
          <w:numId w:val="2"/>
        </w:numPr>
      </w:pPr>
      <w:r>
        <w:rPr>
          <w:rFonts w:ascii="Arial" w:cs="Arial" w:eastAsia="Arial" w:hAnsi="Arial"/>
          <w:color w:val="3A4A5A"/>
          <w:sz w:val="22"/>
          <w:szCs w:val="22"/>
        </w:rPr>
        <w:t xml:space="preserve">Fraudulent claims or false expense submissions.</w:t>
      </w:r>
    </w:p>
    <w:p>
      <w:pPr>
        <w:pStyle w:val="ListParagraph"/>
        <w:numPr>
          <w:ilvl w:val="0"/>
          <w:numId w:val="2"/>
        </w:numPr>
      </w:pPr>
      <w:r>
        <w:rPr>
          <w:rFonts w:ascii="Arial" w:cs="Arial" w:eastAsia="Arial" w:hAnsi="Arial"/>
          <w:color w:val="3A4A5A"/>
          <w:sz w:val="22"/>
          <w:szCs w:val="22"/>
        </w:rPr>
        <w:t xml:space="preserve">First offence: Final Written Warning or Dismissal.</w:t>
      </w:r>
    </w:p>
    <w:p>
      <w:pPr>
        <w:pStyle w:val="Heading3"/>
      </w:pPr>
      <w:r>
        <w:t xml:space="preserve">Category E: Timekeeping and Attendance</w:t>
      </w:r>
    </w:p>
    <w:p>
      <w:pPr>
        <w:pStyle w:val="ListParagraph"/>
        <w:numPr>
          <w:ilvl w:val="0"/>
          <w:numId w:val="2"/>
        </w:numPr>
      </w:pPr>
      <w:r>
        <w:rPr>
          <w:rFonts w:ascii="Arial" w:cs="Arial" w:eastAsia="Arial" w:hAnsi="Arial"/>
          <w:color w:val="3A4A5A"/>
          <w:sz w:val="22"/>
          <w:szCs w:val="22"/>
        </w:rPr>
        <w:t xml:space="preserve">Habitual lateness or absenteeism.</w:t>
      </w:r>
    </w:p>
    <w:p>
      <w:pPr>
        <w:pStyle w:val="ListParagraph"/>
        <w:numPr>
          <w:ilvl w:val="0"/>
          <w:numId w:val="2"/>
        </w:numPr>
      </w:pPr>
      <w:r>
        <w:rPr>
          <w:rFonts w:ascii="Arial" w:cs="Arial" w:eastAsia="Arial" w:hAnsi="Arial"/>
          <w:color w:val="3A4A5A"/>
          <w:sz w:val="22"/>
          <w:szCs w:val="22"/>
        </w:rPr>
        <w:t xml:space="preserve">Unauthorised absence.</w:t>
      </w:r>
    </w:p>
    <w:p>
      <w:pPr>
        <w:pStyle w:val="ListParagraph"/>
        <w:numPr>
          <w:ilvl w:val="0"/>
          <w:numId w:val="2"/>
        </w:numPr>
      </w:pPr>
      <w:r>
        <w:rPr>
          <w:rFonts w:ascii="Arial" w:cs="Arial" w:eastAsia="Arial" w:hAnsi="Arial"/>
          <w:color w:val="3A4A5A"/>
          <w:sz w:val="22"/>
          <w:szCs w:val="22"/>
        </w:rPr>
        <w:t xml:space="preserve">First offence: Verbal Warning | Second offence: Written Warning | Third offence: Final Written Warning | Fourth offence: Dismissal.</w:t>
      </w:r>
    </w:p>
    <w:p>
      <w:pPr>
        <w:pStyle w:val="Heading3"/>
      </w:pPr>
      <w:r>
        <w:t xml:space="preserve">Category F: Insubordination</w:t>
      </w:r>
    </w:p>
    <w:p>
      <w:pPr>
        <w:pStyle w:val="ListParagraph"/>
        <w:numPr>
          <w:ilvl w:val="0"/>
          <w:numId w:val="2"/>
        </w:numPr>
      </w:pPr>
      <w:r>
        <w:rPr>
          <w:rFonts w:ascii="Arial" w:cs="Arial" w:eastAsia="Arial" w:hAnsi="Arial"/>
          <w:color w:val="3A4A5A"/>
          <w:sz w:val="22"/>
          <w:szCs w:val="22"/>
        </w:rPr>
        <w:t xml:space="preserve">Refusal to follow lawful management instructions.</w:t>
      </w:r>
    </w:p>
    <w:p>
      <w:pPr>
        <w:pStyle w:val="ListParagraph"/>
        <w:numPr>
          <w:ilvl w:val="0"/>
          <w:numId w:val="2"/>
        </w:numPr>
      </w:pPr>
      <w:r>
        <w:rPr>
          <w:rFonts w:ascii="Arial" w:cs="Arial" w:eastAsia="Arial" w:hAnsi="Arial"/>
          <w:color w:val="3A4A5A"/>
          <w:sz w:val="22"/>
          <w:szCs w:val="22"/>
        </w:rPr>
        <w:t xml:space="preserve">Disrespect or defiance toward supervisors or management.</w:t>
      </w:r>
    </w:p>
    <w:p>
      <w:pPr>
        <w:pStyle w:val="ListParagraph"/>
        <w:numPr>
          <w:ilvl w:val="0"/>
          <w:numId w:val="2"/>
        </w:numPr>
      </w:pPr>
      <w:r>
        <w:rPr>
          <w:rFonts w:ascii="Arial" w:cs="Arial" w:eastAsia="Arial" w:hAnsi="Arial"/>
          <w:color w:val="3A4A5A"/>
          <w:sz w:val="22"/>
          <w:szCs w:val="22"/>
        </w:rPr>
        <w:t xml:space="preserve">Deliberate non-compliance with established procedures.</w:t>
      </w:r>
    </w:p>
    <w:p>
      <w:pPr>
        <w:pStyle w:val="ListParagraph"/>
        <w:numPr>
          <w:ilvl w:val="0"/>
          <w:numId w:val="2"/>
        </w:numPr>
      </w:pPr>
      <w:r>
        <w:rPr>
          <w:rFonts w:ascii="Arial" w:cs="Arial" w:eastAsia="Arial" w:hAnsi="Arial"/>
          <w:color w:val="3A4A5A"/>
          <w:sz w:val="22"/>
          <w:szCs w:val="22"/>
        </w:rPr>
        <w:t xml:space="preserve">First offence: Written Warning | Second offence: Final Written Warning | Third offence: Dismissal.</w:t>
      </w:r>
    </w:p>
    <w:p>
      <w:pPr>
        <w:pStyle w:val="Heading3"/>
      </w:pPr>
      <w:r>
        <w:t xml:space="preserve">Category G: Intoxication and Substance Abuse</w:t>
      </w:r>
    </w:p>
    <w:p>
      <w:pPr>
        <w:pStyle w:val="ListParagraph"/>
        <w:numPr>
          <w:ilvl w:val="0"/>
          <w:numId w:val="2"/>
        </w:numPr>
      </w:pPr>
      <w:r>
        <w:rPr>
          <w:rFonts w:ascii="Arial" w:cs="Arial" w:eastAsia="Arial" w:hAnsi="Arial"/>
          <w:color w:val="3A4A5A"/>
          <w:sz w:val="22"/>
          <w:szCs w:val="22"/>
        </w:rPr>
        <w:t xml:space="preserve">Being under the influence of alcohol or illegal drugs at work.</w:t>
      </w:r>
    </w:p>
    <w:p>
      <w:pPr>
        <w:pStyle w:val="ListParagraph"/>
        <w:numPr>
          <w:ilvl w:val="0"/>
          <w:numId w:val="2"/>
        </w:numPr>
      </w:pPr>
      <w:r>
        <w:rPr>
          <w:rFonts w:ascii="Arial" w:cs="Arial" w:eastAsia="Arial" w:hAnsi="Arial"/>
          <w:color w:val="3A4A5A"/>
          <w:sz w:val="22"/>
          <w:szCs w:val="22"/>
        </w:rPr>
        <w:t xml:space="preserve">Possession of alcohol or drugs on company premises.</w:t>
      </w:r>
    </w:p>
    <w:p>
      <w:pPr>
        <w:pStyle w:val="ListParagraph"/>
        <w:numPr>
          <w:ilvl w:val="0"/>
          <w:numId w:val="2"/>
        </w:numPr>
      </w:pPr>
      <w:r>
        <w:rPr>
          <w:rFonts w:ascii="Arial" w:cs="Arial" w:eastAsia="Arial" w:hAnsi="Arial"/>
          <w:color w:val="3A4A5A"/>
          <w:sz w:val="22"/>
          <w:szCs w:val="22"/>
        </w:rPr>
        <w:t xml:space="preserve">Refusal to undergo substance testing.</w:t>
      </w:r>
    </w:p>
    <w:p>
      <w:pPr>
        <w:pStyle w:val="ListParagraph"/>
        <w:numPr>
          <w:ilvl w:val="0"/>
          <w:numId w:val="2"/>
        </w:numPr>
      </w:pPr>
      <w:r>
        <w:rPr>
          <w:rFonts w:ascii="Arial" w:cs="Arial" w:eastAsia="Arial" w:hAnsi="Arial"/>
          <w:color w:val="3A4A5A"/>
          <w:sz w:val="22"/>
          <w:szCs w:val="22"/>
        </w:rPr>
        <w:t xml:space="preserve">First offence: Final Written Warning or Dismissal (depending on circumstances and safety risk).</w:t>
      </w:r>
    </w:p>
    <w:p>
      <w:pPr>
        <w:pStyle w:val="Heading3"/>
      </w:pPr>
      <w:r>
        <w:t xml:space="preserve">Category H: Weapons on Company Premises</w:t>
      </w:r>
    </w:p>
    <w:p>
      <w:pPr>
        <w:pStyle w:val="ListParagraph"/>
        <w:numPr>
          <w:ilvl w:val="0"/>
          <w:numId w:val="2"/>
        </w:numPr>
      </w:pPr>
      <w:r>
        <w:rPr>
          <w:rFonts w:ascii="Arial" w:cs="Arial" w:eastAsia="Arial" w:hAnsi="Arial"/>
          <w:color w:val="3A4A5A"/>
          <w:sz w:val="22"/>
          <w:szCs w:val="22"/>
        </w:rPr>
        <w:t xml:space="preserve">Possession of firearms, knives, or other weapons.</w:t>
      </w:r>
    </w:p>
    <w:p>
      <w:pPr>
        <w:pStyle w:val="ListParagraph"/>
        <w:numPr>
          <w:ilvl w:val="0"/>
          <w:numId w:val="2"/>
        </w:numPr>
      </w:pPr>
      <w:r>
        <w:rPr>
          <w:rFonts w:ascii="Arial" w:cs="Arial" w:eastAsia="Arial" w:hAnsi="Arial"/>
          <w:color w:val="3A4A5A"/>
          <w:sz w:val="22"/>
          <w:szCs w:val="22"/>
        </w:rPr>
        <w:t xml:space="preserve">Threat to use weapons.</w:t>
      </w:r>
    </w:p>
    <w:p>
      <w:pPr>
        <w:pStyle w:val="ListParagraph"/>
        <w:numPr>
          <w:ilvl w:val="0"/>
          <w:numId w:val="2"/>
        </w:numPr>
      </w:pPr>
      <w:r>
        <w:rPr>
          <w:rFonts w:ascii="Arial" w:cs="Arial" w:eastAsia="Arial" w:hAnsi="Arial"/>
          <w:color w:val="3A4A5A"/>
          <w:sz w:val="22"/>
          <w:szCs w:val="22"/>
        </w:rPr>
        <w:t xml:space="preserve">First offence: Dismissal.</w:t>
      </w:r>
    </w:p>
    <w:p>
      <w:pPr>
        <w:pStyle w:val="Heading3"/>
      </w:pPr>
      <w:r>
        <w:t xml:space="preserve">Category I: Absence Without Leave (AWOL)</w:t>
      </w:r>
    </w:p>
    <w:p>
      <w:pPr>
        <w:pStyle w:val="ListParagraph"/>
        <w:numPr>
          <w:ilvl w:val="0"/>
          <w:numId w:val="2"/>
        </w:numPr>
      </w:pPr>
      <w:r>
        <w:rPr>
          <w:rFonts w:ascii="Arial" w:cs="Arial" w:eastAsia="Arial" w:hAnsi="Arial"/>
          <w:color w:val="3A4A5A"/>
          <w:sz w:val="22"/>
          <w:szCs w:val="22"/>
        </w:rPr>
        <w:t xml:space="preserve">Unauthorised absence exceeding 3 consecutive days.</w:t>
      </w:r>
    </w:p>
    <w:p>
      <w:pPr>
        <w:pStyle w:val="ListParagraph"/>
        <w:numPr>
          <w:ilvl w:val="0"/>
          <w:numId w:val="2"/>
        </w:numPr>
      </w:pPr>
      <w:r>
        <w:rPr>
          <w:rFonts w:ascii="Arial" w:cs="Arial" w:eastAsia="Arial" w:hAnsi="Arial"/>
          <w:color w:val="3A4A5A"/>
          <w:sz w:val="22"/>
          <w:szCs w:val="22"/>
        </w:rPr>
        <w:t xml:space="preserve">Pattern of unexcused absences.</w:t>
      </w:r>
    </w:p>
    <w:p>
      <w:pPr>
        <w:pStyle w:val="ListParagraph"/>
        <w:numPr>
          <w:ilvl w:val="0"/>
          <w:numId w:val="2"/>
        </w:numPr>
      </w:pPr>
      <w:r>
        <w:rPr>
          <w:rFonts w:ascii="Arial" w:cs="Arial" w:eastAsia="Arial" w:hAnsi="Arial"/>
          <w:color w:val="3A4A5A"/>
          <w:sz w:val="22"/>
          <w:szCs w:val="22"/>
        </w:rPr>
        <w:t xml:space="preserve">First offence (3 days): Written Warning | Subsequent: Final Written Warning or Dismissal.</w:t>
      </w:r>
    </w:p>
    <w:p>
      <w:pPr>
        <w:pStyle w:val="Heading3"/>
      </w:pPr>
      <w:r>
        <w:t xml:space="preserve">Category J: Safety Violations</w:t>
      </w:r>
    </w:p>
    <w:p>
      <w:pPr>
        <w:pStyle w:val="ListParagraph"/>
        <w:numPr>
          <w:ilvl w:val="0"/>
          <w:numId w:val="2"/>
        </w:numPr>
      </w:pPr>
      <w:r>
        <w:rPr>
          <w:rFonts w:ascii="Arial" w:cs="Arial" w:eastAsia="Arial" w:hAnsi="Arial"/>
          <w:color w:val="3A4A5A"/>
          <w:sz w:val="22"/>
          <w:szCs w:val="22"/>
        </w:rPr>
        <w:t xml:space="preserve">Failure to comply with health and safety procedures.</w:t>
      </w:r>
    </w:p>
    <w:p>
      <w:pPr>
        <w:pStyle w:val="ListParagraph"/>
        <w:numPr>
          <w:ilvl w:val="0"/>
          <w:numId w:val="2"/>
        </w:numPr>
      </w:pPr>
      <w:r>
        <w:rPr>
          <w:rFonts w:ascii="Arial" w:cs="Arial" w:eastAsia="Arial" w:hAnsi="Arial"/>
          <w:color w:val="3A4A5A"/>
          <w:sz w:val="22"/>
          <w:szCs w:val="22"/>
        </w:rPr>
        <w:t xml:space="preserve">Reckless conduct endangering self or others.</w:t>
      </w:r>
    </w:p>
    <w:p>
      <w:pPr>
        <w:pStyle w:val="ListParagraph"/>
        <w:numPr>
          <w:ilvl w:val="0"/>
          <w:numId w:val="2"/>
        </w:numPr>
      </w:pPr>
      <w:r>
        <w:rPr>
          <w:rFonts w:ascii="Arial" w:cs="Arial" w:eastAsia="Arial" w:hAnsi="Arial"/>
          <w:color w:val="3A4A5A"/>
          <w:sz w:val="22"/>
          <w:szCs w:val="22"/>
        </w:rPr>
        <w:t xml:space="preserve">Failure to wear required safety equipment.</w:t>
      </w:r>
    </w:p>
    <w:p>
      <w:pPr>
        <w:pStyle w:val="ListParagraph"/>
        <w:numPr>
          <w:ilvl w:val="0"/>
          <w:numId w:val="2"/>
        </w:numPr>
      </w:pPr>
      <w:r>
        <w:rPr>
          <w:rFonts w:ascii="Arial" w:cs="Arial" w:eastAsia="Arial" w:hAnsi="Arial"/>
          <w:color w:val="3A4A5A"/>
          <w:sz w:val="22"/>
          <w:szCs w:val="22"/>
        </w:rPr>
        <w:t xml:space="preserve">First offence: Written Warning (if technical) | Final Written Warning (if reckless) | Dismissal (if wilful endangerment).</w:t>
      </w:r>
    </w:p>
    <w:p>
      <w:pPr>
        <w:pStyle w:val="Heading3"/>
      </w:pPr>
      <w:r>
        <w:t xml:space="preserve">Category K: Disrespect and Unprofessional Conduct</w:t>
      </w:r>
    </w:p>
    <w:p>
      <w:pPr>
        <w:pStyle w:val="ListParagraph"/>
        <w:numPr>
          <w:ilvl w:val="0"/>
          <w:numId w:val="2"/>
        </w:numPr>
      </w:pPr>
      <w:r>
        <w:rPr>
          <w:rFonts w:ascii="Arial" w:cs="Arial" w:eastAsia="Arial" w:hAnsi="Arial"/>
          <w:color w:val="3A4A5A"/>
          <w:sz w:val="22"/>
          <w:szCs w:val="22"/>
        </w:rPr>
        <w:t xml:space="preserve">Use of abusive or offensive language.</w:t>
      </w:r>
    </w:p>
    <w:p>
      <w:pPr>
        <w:pStyle w:val="ListParagraph"/>
        <w:numPr>
          <w:ilvl w:val="0"/>
          <w:numId w:val="2"/>
        </w:numPr>
      </w:pPr>
      <w:r>
        <w:rPr>
          <w:rFonts w:ascii="Arial" w:cs="Arial" w:eastAsia="Arial" w:hAnsi="Arial"/>
          <w:color w:val="3A4A5A"/>
          <w:sz w:val="22"/>
          <w:szCs w:val="22"/>
        </w:rPr>
        <w:t xml:space="preserve">Harassment or bullying of colleagues.</w:t>
      </w:r>
    </w:p>
    <w:p>
      <w:pPr>
        <w:pStyle w:val="ListParagraph"/>
        <w:numPr>
          <w:ilvl w:val="0"/>
          <w:numId w:val="2"/>
        </w:numPr>
      </w:pPr>
      <w:r>
        <w:rPr>
          <w:rFonts w:ascii="Arial" w:cs="Arial" w:eastAsia="Arial" w:hAnsi="Arial"/>
          <w:color w:val="3A4A5A"/>
          <w:sz w:val="22"/>
          <w:szCs w:val="22"/>
        </w:rPr>
        <w:t xml:space="preserve">Sexual harassment or gender-based violence.</w:t>
      </w:r>
    </w:p>
    <w:p>
      <w:pPr>
        <w:pStyle w:val="ListParagraph"/>
        <w:numPr>
          <w:ilvl w:val="0"/>
          <w:numId w:val="2"/>
        </w:numPr>
      </w:pPr>
      <w:r>
        <w:rPr>
          <w:rFonts w:ascii="Arial" w:cs="Arial" w:eastAsia="Arial" w:hAnsi="Arial"/>
          <w:color w:val="3A4A5A"/>
          <w:sz w:val="22"/>
          <w:szCs w:val="22"/>
        </w:rPr>
        <w:t xml:space="preserve">First offence: Written Warning | Second offence: Final Written Warning | Third offence: Dismissal.</w:t>
      </w:r>
    </w:p>
    <w:p>
      <w:pPr>
        <w:pStyle w:val="Heading3"/>
      </w:pPr>
      <w:r>
        <w:t xml:space="preserve">Category L: Criminal Matters</w:t>
      </w:r>
    </w:p>
    <w:p>
      <w:pPr>
        <w:pStyle w:val="ListParagraph"/>
        <w:numPr>
          <w:ilvl w:val="0"/>
          <w:numId w:val="2"/>
        </w:numPr>
      </w:pPr>
      <w:r>
        <w:rPr>
          <w:rFonts w:ascii="Arial" w:cs="Arial" w:eastAsia="Arial" w:hAnsi="Arial"/>
          <w:color w:val="3A4A5A"/>
          <w:sz w:val="22"/>
          <w:szCs w:val="22"/>
        </w:rPr>
        <w:t xml:space="preserve">Conviction of a crime relevant to employment (fraud, theft, violence, etc.).</w:t>
      </w:r>
    </w:p>
    <w:p>
      <w:pPr>
        <w:pStyle w:val="ListParagraph"/>
        <w:numPr>
          <w:ilvl w:val="0"/>
          <w:numId w:val="2"/>
        </w:numPr>
      </w:pPr>
      <w:r>
        <w:rPr>
          <w:rFonts w:ascii="Arial" w:cs="Arial" w:eastAsia="Arial" w:hAnsi="Arial"/>
          <w:color w:val="3A4A5A"/>
          <w:sz w:val="22"/>
          <w:szCs w:val="22"/>
        </w:rPr>
        <w:t xml:space="preserve">Criminal charges that materially affect job performance or company reputation.</w:t>
      </w:r>
    </w:p>
    <w:p>
      <w:pPr>
        <w:pStyle w:val="ListParagraph"/>
        <w:numPr>
          <w:ilvl w:val="0"/>
          <w:numId w:val="2"/>
        </w:numPr>
      </w:pPr>
      <w:r>
        <w:rPr>
          <w:rFonts w:ascii="Arial" w:cs="Arial" w:eastAsia="Arial" w:hAnsi="Arial"/>
          <w:color w:val="3A4A5A"/>
          <w:sz w:val="22"/>
          <w:szCs w:val="22"/>
        </w:rPr>
        <w:t xml:space="preserve">First offence: Final Written Warning or Dismissal.</w:t>
      </w:r>
    </w:p>
    <w:p>
      <w:pPr>
        <w:pStyle w:val="Heading3"/>
      </w:pPr>
      <w:r>
        <w:t xml:space="preserve">Category M: Digital Misconduct</w:t>
      </w:r>
    </w:p>
    <w:p>
      <w:pPr>
        <w:pStyle w:val="ListParagraph"/>
        <w:numPr>
          <w:ilvl w:val="0"/>
          <w:numId w:val="2"/>
        </w:numPr>
      </w:pPr>
      <w:r>
        <w:rPr>
          <w:rFonts w:ascii="Arial" w:cs="Arial" w:eastAsia="Arial" w:hAnsi="Arial"/>
          <w:color w:val="3A4A5A"/>
          <w:sz w:val="22"/>
          <w:szCs w:val="22"/>
        </w:rPr>
        <w:t xml:space="preserve">Unauthorised access to company systems or data.</w:t>
      </w:r>
    </w:p>
    <w:p>
      <w:pPr>
        <w:pStyle w:val="ListParagraph"/>
        <w:numPr>
          <w:ilvl w:val="0"/>
          <w:numId w:val="2"/>
        </w:numPr>
      </w:pPr>
      <w:r>
        <w:rPr>
          <w:rFonts w:ascii="Arial" w:cs="Arial" w:eastAsia="Arial" w:hAnsi="Arial"/>
          <w:color w:val="3A4A5A"/>
          <w:sz w:val="22"/>
          <w:szCs w:val="22"/>
        </w:rPr>
        <w:t xml:space="preserve">Hacking, phishing attempts, or malware introduction.</w:t>
      </w:r>
    </w:p>
    <w:p>
      <w:pPr>
        <w:pStyle w:val="ListParagraph"/>
        <w:numPr>
          <w:ilvl w:val="0"/>
          <w:numId w:val="2"/>
        </w:numPr>
      </w:pPr>
      <w:r>
        <w:rPr>
          <w:rFonts w:ascii="Arial" w:cs="Arial" w:eastAsia="Arial" w:hAnsi="Arial"/>
          <w:color w:val="3A4A5A"/>
          <w:sz w:val="22"/>
          <w:szCs w:val="22"/>
        </w:rPr>
        <w:t xml:space="preserve">Misuse of company IT resources (excessive personal use, accessing prohibited sites).</w:t>
      </w:r>
    </w:p>
    <w:p>
      <w:pPr>
        <w:pStyle w:val="ListParagraph"/>
        <w:numPr>
          <w:ilvl w:val="0"/>
          <w:numId w:val="2"/>
        </w:numPr>
      </w:pPr>
      <w:r>
        <w:rPr>
          <w:rFonts w:ascii="Arial" w:cs="Arial" w:eastAsia="Arial" w:hAnsi="Arial"/>
          <w:color w:val="3A4A5A"/>
          <w:sz w:val="22"/>
          <w:szCs w:val="22"/>
        </w:rPr>
        <w:t xml:space="preserve">Cyberbullying or threatening conduct via digital channels.</w:t>
      </w:r>
    </w:p>
    <w:p>
      <w:pPr>
        <w:pStyle w:val="ListParagraph"/>
        <w:numPr>
          <w:ilvl w:val="0"/>
          <w:numId w:val="2"/>
        </w:numPr>
      </w:pPr>
      <w:r>
        <w:rPr>
          <w:rFonts w:ascii="Arial" w:cs="Arial" w:eastAsia="Arial" w:hAnsi="Arial"/>
          <w:color w:val="3A4A5A"/>
          <w:sz w:val="22"/>
          <w:szCs w:val="22"/>
        </w:rPr>
        <w:t xml:space="preserve">Sharing confidential company information via email, messaging, or social media.</w:t>
      </w:r>
    </w:p>
    <w:p>
      <w:pPr>
        <w:pStyle w:val="ListParagraph"/>
        <w:numPr>
          <w:ilvl w:val="0"/>
          <w:numId w:val="2"/>
        </w:numPr>
      </w:pPr>
      <w:r>
        <w:rPr>
          <w:rFonts w:ascii="Arial" w:cs="Arial" w:eastAsia="Arial" w:hAnsi="Arial"/>
          <w:color w:val="3A4A5A"/>
          <w:sz w:val="22"/>
          <w:szCs w:val="22"/>
        </w:rPr>
        <w:t xml:space="preserve">Violations of POPIA (handling personal data without consent or inappropriately).</w:t>
      </w:r>
    </w:p>
    <w:p>
      <w:pPr>
        <w:pStyle w:val="ListParagraph"/>
        <w:numPr>
          <w:ilvl w:val="0"/>
          <w:numId w:val="2"/>
        </w:numPr>
      </w:pPr>
      <w:r>
        <w:rPr>
          <w:rFonts w:ascii="Arial" w:cs="Arial" w:eastAsia="Arial" w:hAnsi="Arial"/>
          <w:color w:val="3A4A5A"/>
          <w:sz w:val="22"/>
          <w:szCs w:val="22"/>
        </w:rPr>
        <w:t xml:space="preserve">Impersonation of company officials online.</w:t>
      </w:r>
    </w:p>
    <w:p>
      <w:pPr>
        <w:pStyle w:val="ListParagraph"/>
        <w:numPr>
          <w:ilvl w:val="0"/>
          <w:numId w:val="2"/>
        </w:numPr>
      </w:pPr>
      <w:r>
        <w:rPr>
          <w:rFonts w:ascii="Arial" w:cs="Arial" w:eastAsia="Arial" w:hAnsi="Arial"/>
          <w:color w:val="3A4A5A"/>
          <w:sz w:val="22"/>
          <w:szCs w:val="22"/>
        </w:rPr>
        <w:t xml:space="preserve">First offence: Written Warning (if unintentional) | Final Written Warning (if deliberate misuse) | Dismissal (if malicious).</w:t>
      </w:r>
    </w:p>
    <w:p>
      <w:pPr>
        <w:pStyle w:val="Heading3"/>
      </w:pPr>
      <w:r>
        <w:t xml:space="preserve">Category N: Other Misconduct</w:t>
      </w:r>
    </w:p>
    <w:p>
      <w:pPr>
        <w:pStyle w:val="ListParagraph"/>
        <w:numPr>
          <w:ilvl w:val="0"/>
          <w:numId w:val="2"/>
        </w:numPr>
      </w:pPr>
      <w:r>
        <w:rPr>
          <w:rFonts w:ascii="Arial" w:cs="Arial" w:eastAsia="Arial" w:hAnsi="Arial"/>
          <w:color w:val="3A4A5A"/>
          <w:sz w:val="22"/>
          <w:szCs w:val="22"/>
        </w:rPr>
        <w:t xml:space="preserve">Any other conduct not listed but deemed incompatible with satisfactory employment.</w:t>
      </w:r>
    </w:p>
    <w:p>
      <w:pPr>
        <w:pStyle w:val="ListParagraph"/>
        <w:numPr>
          <w:ilvl w:val="0"/>
          <w:numId w:val="2"/>
        </w:numPr>
      </w:pPr>
      <w:r>
        <w:rPr>
          <w:rFonts w:ascii="Arial" w:cs="Arial" w:eastAsia="Arial" w:hAnsi="Arial"/>
          <w:color w:val="3A4A5A"/>
          <w:sz w:val="22"/>
          <w:szCs w:val="22"/>
        </w:rPr>
        <w:t xml:space="preserve">Disciplinary action determined based on severity and context.</w:t>
      </w:r>
    </w:p>
    <w:p>
      <w:pPr>
        <w:pStyle w:val="Heading2"/>
      </w:pPr>
      <w:r>
        <w:t xml:space="preserve">5. Disciplinary Procedure</w:t>
      </w:r>
    </w:p>
    <w:p>
      <w:pPr>
        <w:pStyle w:val="Heading3"/>
      </w:pPr>
      <w:r>
        <w:t xml:space="preserve">5.1 Verbal Warning (Informal)</w:t>
      </w:r>
    </w:p>
    <w:p>
      <w:pPr>
        <w:spacing w:after="60" w:before="60"/>
      </w:pPr>
      <w:r>
        <w:rPr>
          <w:rFonts w:ascii="Arial" w:cs="Arial" w:eastAsia="Arial" w:hAnsi="Arial"/>
          <w:b w:val="false"/>
          <w:bCs w:val="false"/>
          <w:color w:val="3A4A5A"/>
          <w:sz w:val="22"/>
          <w:szCs w:val="22"/>
        </w:rPr>
        <w:t xml:space="preserve">For minor first offences. Manager to:</w:t>
      </w:r>
    </w:p>
    <w:p>
      <w:pPr>
        <w:pStyle w:val="ListParagraph"/>
        <w:numPr>
          <w:ilvl w:val="0"/>
          <w:numId w:val="3"/>
        </w:numPr>
      </w:pPr>
      <w:r>
        <w:rPr>
          <w:rFonts w:ascii="Arial" w:cs="Arial" w:eastAsia="Arial" w:hAnsi="Arial"/>
          <w:color w:val="3A4A5A"/>
          <w:sz w:val="22"/>
          <w:szCs w:val="22"/>
        </w:rPr>
        <w:t xml:space="preserve">Speak to employee privately and immediately.</w:t>
      </w:r>
    </w:p>
    <w:p>
      <w:pPr>
        <w:pStyle w:val="ListParagraph"/>
        <w:numPr>
          <w:ilvl w:val="0"/>
          <w:numId w:val="3"/>
        </w:numPr>
      </w:pPr>
      <w:r>
        <w:rPr>
          <w:rFonts w:ascii="Arial" w:cs="Arial" w:eastAsia="Arial" w:hAnsi="Arial"/>
          <w:color w:val="3A4A5A"/>
          <w:sz w:val="22"/>
          <w:szCs w:val="22"/>
        </w:rPr>
        <w:t xml:space="preserve">Explain the breach and expected behaviour.</w:t>
      </w:r>
    </w:p>
    <w:p>
      <w:pPr>
        <w:pStyle w:val="ListParagraph"/>
        <w:numPr>
          <w:ilvl w:val="0"/>
          <w:numId w:val="3"/>
        </w:numPr>
      </w:pPr>
      <w:r>
        <w:rPr>
          <w:rFonts w:ascii="Arial" w:cs="Arial" w:eastAsia="Arial" w:hAnsi="Arial"/>
          <w:color w:val="3A4A5A"/>
          <w:sz w:val="22"/>
          <w:szCs w:val="22"/>
        </w:rPr>
        <w:t xml:space="preserve">Document the conversation (date, time, topic, outcome).</w:t>
      </w:r>
    </w:p>
    <w:p>
      <w:pPr>
        <w:pStyle w:val="ListParagraph"/>
        <w:numPr>
          <w:ilvl w:val="0"/>
          <w:numId w:val="3"/>
        </w:numPr>
      </w:pPr>
      <w:r>
        <w:rPr>
          <w:rFonts w:ascii="Arial" w:cs="Arial" w:eastAsia="Arial" w:hAnsi="Arial"/>
          <w:color w:val="3A4A5A"/>
          <w:sz w:val="22"/>
          <w:szCs w:val="22"/>
        </w:rPr>
        <w:t xml:space="preserve">Validity period: 3 months from date of warning.</w:t>
      </w:r>
    </w:p>
    <w:p>
      <w:pPr>
        <w:pStyle w:val="Heading3"/>
      </w:pPr>
      <w:r>
        <w:t xml:space="preserve">5.2 Written Warning (Formal)</w:t>
      </w:r>
    </w:p>
    <w:p>
      <w:pPr>
        <w:spacing w:after="60" w:before="60"/>
      </w:pPr>
      <w:r>
        <w:rPr>
          <w:rFonts w:ascii="Arial" w:cs="Arial" w:eastAsia="Arial" w:hAnsi="Arial"/>
          <w:b w:val="false"/>
          <w:bCs w:val="false"/>
          <w:color w:val="3A4A5A"/>
          <w:sz w:val="22"/>
          <w:szCs w:val="22"/>
        </w:rPr>
        <w:t xml:space="preserve">For repeated minor offences or more serious first offences. Manager to:</w:t>
      </w:r>
    </w:p>
    <w:p>
      <w:pPr>
        <w:pStyle w:val="ListParagraph"/>
        <w:numPr>
          <w:ilvl w:val="0"/>
          <w:numId w:val="3"/>
        </w:numPr>
      </w:pPr>
      <w:r>
        <w:rPr>
          <w:rFonts w:ascii="Arial" w:cs="Arial" w:eastAsia="Arial" w:hAnsi="Arial"/>
          <w:color w:val="3A4A5A"/>
          <w:sz w:val="22"/>
          <w:szCs w:val="22"/>
        </w:rPr>
        <w:t xml:space="preserve">Issue written warning documenting offence, policy violated, and expected improvement.</w:t>
      </w:r>
    </w:p>
    <w:p>
      <w:pPr>
        <w:pStyle w:val="ListParagraph"/>
        <w:numPr>
          <w:ilvl w:val="0"/>
          <w:numId w:val="3"/>
        </w:numPr>
      </w:pPr>
      <w:r>
        <w:rPr>
          <w:rFonts w:ascii="Arial" w:cs="Arial" w:eastAsia="Arial" w:hAnsi="Arial"/>
          <w:color w:val="3A4A5A"/>
          <w:sz w:val="22"/>
          <w:szCs w:val="22"/>
        </w:rPr>
        <w:t xml:space="preserve">Grant employee 5 working days to respond in writing.</w:t>
      </w:r>
    </w:p>
    <w:p>
      <w:pPr>
        <w:pStyle w:val="ListParagraph"/>
        <w:numPr>
          <w:ilvl w:val="0"/>
          <w:numId w:val="3"/>
        </w:numPr>
      </w:pPr>
      <w:r>
        <w:rPr>
          <w:rFonts w:ascii="Arial" w:cs="Arial" w:eastAsia="Arial" w:hAnsi="Arial"/>
          <w:color w:val="3A4A5A"/>
          <w:sz w:val="22"/>
          <w:szCs w:val="22"/>
        </w:rPr>
        <w:t xml:space="preserve">Validity period: 6 months from date of warning.</w:t>
      </w:r>
    </w:p>
    <w:p>
      <w:pPr>
        <w:pStyle w:val="ListParagraph"/>
        <w:numPr>
          <w:ilvl w:val="0"/>
          <w:numId w:val="3"/>
        </w:numPr>
      </w:pPr>
      <w:r>
        <w:rPr>
          <w:rFonts w:ascii="Arial" w:cs="Arial" w:eastAsia="Arial" w:hAnsi="Arial"/>
          <w:color w:val="3A4A5A"/>
          <w:sz w:val="22"/>
          <w:szCs w:val="22"/>
        </w:rPr>
        <w:t xml:space="preserve">Copy placed on employee's personnel file.</w:t>
      </w:r>
    </w:p>
    <w:p>
      <w:pPr>
        <w:pStyle w:val="Heading3"/>
      </w:pPr>
      <w:r>
        <w:t xml:space="preserve">5.3 Final Written Warning</w:t>
      </w:r>
    </w:p>
    <w:p>
      <w:pPr>
        <w:spacing w:after="60" w:before="60"/>
      </w:pPr>
      <w:r>
        <w:rPr>
          <w:rFonts w:ascii="Arial" w:cs="Arial" w:eastAsia="Arial" w:hAnsi="Arial"/>
          <w:b w:val="false"/>
          <w:bCs w:val="false"/>
          <w:color w:val="3A4A5A"/>
          <w:sz w:val="22"/>
          <w:szCs w:val="22"/>
        </w:rPr>
        <w:t xml:space="preserve">For continued breaches or serious misconduct. Procedure:</w:t>
      </w:r>
    </w:p>
    <w:p>
      <w:pPr>
        <w:pStyle w:val="ListParagraph"/>
        <w:numPr>
          <w:ilvl w:val="0"/>
          <w:numId w:val="3"/>
        </w:numPr>
      </w:pPr>
      <w:r>
        <w:rPr>
          <w:rFonts w:ascii="Arial" w:cs="Arial" w:eastAsia="Arial" w:hAnsi="Arial"/>
          <w:color w:val="3A4A5A"/>
          <w:sz w:val="22"/>
          <w:szCs w:val="22"/>
        </w:rPr>
        <w:t xml:space="preserve">Issue final written warning with clear statement that further misconduct may lead to dismissal.</w:t>
      </w:r>
    </w:p>
    <w:p>
      <w:pPr>
        <w:pStyle w:val="ListParagraph"/>
        <w:numPr>
          <w:ilvl w:val="0"/>
          <w:numId w:val="3"/>
        </w:numPr>
      </w:pPr>
      <w:r>
        <w:rPr>
          <w:rFonts w:ascii="Arial" w:cs="Arial" w:eastAsia="Arial" w:hAnsi="Arial"/>
          <w:color w:val="3A4A5A"/>
          <w:sz w:val="22"/>
          <w:szCs w:val="22"/>
        </w:rPr>
        <w:t xml:space="preserve">Employee has 5 working days to submit written response.</w:t>
      </w:r>
    </w:p>
    <w:p>
      <w:pPr>
        <w:pStyle w:val="ListParagraph"/>
        <w:numPr>
          <w:ilvl w:val="0"/>
          <w:numId w:val="3"/>
        </w:numPr>
      </w:pPr>
      <w:r>
        <w:rPr>
          <w:rFonts w:ascii="Arial" w:cs="Arial" w:eastAsia="Arial" w:hAnsi="Arial"/>
          <w:color w:val="3A4A5A"/>
          <w:sz w:val="22"/>
          <w:szCs w:val="22"/>
        </w:rPr>
        <w:t xml:space="preserve">Validity period: 12 months from date of warning.</w:t>
      </w:r>
    </w:p>
    <w:p>
      <w:pPr>
        <w:pStyle w:val="ListParagraph"/>
        <w:numPr>
          <w:ilvl w:val="0"/>
          <w:numId w:val="3"/>
        </w:numPr>
      </w:pPr>
      <w:r>
        <w:rPr>
          <w:rFonts w:ascii="Arial" w:cs="Arial" w:eastAsia="Arial" w:hAnsi="Arial"/>
          <w:color w:val="3A4A5A"/>
          <w:sz w:val="22"/>
          <w:szCs w:val="22"/>
        </w:rPr>
        <w:t xml:space="preserve">Placed on personnel file.</w:t>
      </w:r>
    </w:p>
    <w:p>
      <w:pPr>
        <w:pStyle w:val="Heading3"/>
      </w:pPr>
      <w:r>
        <w:t xml:space="preserve">5.4 Dismissal</w:t>
      </w:r>
    </w:p>
    <w:p>
      <w:pPr>
        <w:spacing w:after="60" w:before="60"/>
      </w:pPr>
      <w:r>
        <w:rPr>
          <w:rFonts w:ascii="Arial" w:cs="Arial" w:eastAsia="Arial" w:hAnsi="Arial"/>
          <w:b w:val="false"/>
          <w:bCs w:val="false"/>
          <w:color w:val="3A4A5A"/>
          <w:sz w:val="22"/>
          <w:szCs w:val="22"/>
        </w:rPr>
        <w:t xml:space="preserve">For gross misconduct or repeated breaches despite warnings.</w:t>
      </w:r>
    </w:p>
    <w:p>
      <w:pPr>
        <w:pStyle w:val="ListParagraph"/>
        <w:numPr>
          <w:ilvl w:val="0"/>
          <w:numId w:val="3"/>
        </w:numPr>
      </w:pPr>
      <w:r>
        <w:rPr>
          <w:rFonts w:ascii="Arial" w:cs="Arial" w:eastAsia="Arial" w:hAnsi="Arial"/>
          <w:color w:val="3A4A5A"/>
          <w:sz w:val="22"/>
          <w:szCs w:val="22"/>
        </w:rPr>
        <w:t xml:space="preserve">Disciplinary hearing must be held prior to dismissal (unless summary dismissal applies).</w:t>
      </w:r>
    </w:p>
    <w:p>
      <w:pPr>
        <w:pStyle w:val="ListParagraph"/>
        <w:numPr>
          <w:ilvl w:val="0"/>
          <w:numId w:val="3"/>
        </w:numPr>
      </w:pPr>
      <w:r>
        <w:rPr>
          <w:rFonts w:ascii="Arial" w:cs="Arial" w:eastAsia="Arial" w:hAnsi="Arial"/>
          <w:color w:val="3A4A5A"/>
          <w:sz w:val="22"/>
          <w:szCs w:val="22"/>
        </w:rPr>
        <w:t xml:space="preserve">Dismissal confirmed in writing with reasons.</w:t>
      </w:r>
    </w:p>
    <w:p>
      <w:pPr>
        <w:pStyle w:val="ListParagraph"/>
        <w:numPr>
          <w:ilvl w:val="0"/>
          <w:numId w:val="3"/>
        </w:numPr>
      </w:pPr>
      <w:r>
        <w:rPr>
          <w:rFonts w:ascii="Arial" w:cs="Arial" w:eastAsia="Arial" w:hAnsi="Arial"/>
          <w:color w:val="3A4A5A"/>
          <w:sz w:val="22"/>
          <w:szCs w:val="22"/>
        </w:rPr>
        <w:t xml:space="preserve">Notice period as per employment contract or BCEA (minimum 4 weeks for employees with &gt;1 year service).</w:t>
      </w:r>
    </w:p>
    <w:p>
      <w:pPr>
        <w:pStyle w:val="Heading2"/>
      </w:pPr>
      <w:r>
        <w:t xml:space="preserve">6. Disciplinary Hearing Procedure</w:t>
      </w:r>
    </w:p>
    <w:p>
      <w:pPr>
        <w:pStyle w:val="Heading3"/>
      </w:pPr>
      <w:r>
        <w:t xml:space="preserve">6.1 Notification</w:t>
      </w:r>
    </w:p>
    <w:p>
      <w:pPr>
        <w:spacing w:after="60" w:before="60"/>
      </w:pPr>
      <w:r>
        <w:rPr>
          <w:rFonts w:ascii="Arial" w:cs="Arial" w:eastAsia="Arial" w:hAnsi="Arial"/>
          <w:b w:val="false"/>
          <w:bCs w:val="false"/>
          <w:color w:val="3A4A5A"/>
          <w:sz w:val="22"/>
          <w:szCs w:val="22"/>
        </w:rPr>
        <w:t xml:space="preserve">Employee must receive written notice containing:</w:t>
      </w:r>
    </w:p>
    <w:p>
      <w:pPr>
        <w:pStyle w:val="ListParagraph"/>
        <w:numPr>
          <w:ilvl w:val="0"/>
          <w:numId w:val="2"/>
        </w:numPr>
      </w:pPr>
      <w:r>
        <w:rPr>
          <w:rFonts w:ascii="Arial" w:cs="Arial" w:eastAsia="Arial" w:hAnsi="Arial"/>
          <w:color w:val="3A4A5A"/>
          <w:sz w:val="22"/>
          <w:szCs w:val="22"/>
        </w:rPr>
        <w:t xml:space="preserve">Date, time, and venue of hearing.</w:t>
      </w:r>
    </w:p>
    <w:p>
      <w:pPr>
        <w:pStyle w:val="ListParagraph"/>
        <w:numPr>
          <w:ilvl w:val="0"/>
          <w:numId w:val="2"/>
        </w:numPr>
      </w:pPr>
      <w:r>
        <w:rPr>
          <w:rFonts w:ascii="Arial" w:cs="Arial" w:eastAsia="Arial" w:hAnsi="Arial"/>
          <w:color w:val="3A4A5A"/>
          <w:sz w:val="22"/>
          <w:szCs w:val="22"/>
        </w:rPr>
        <w:t xml:space="preserve">Details of the alleged misconduct.</w:t>
      </w:r>
    </w:p>
    <w:p>
      <w:pPr>
        <w:pStyle w:val="ListParagraph"/>
        <w:numPr>
          <w:ilvl w:val="0"/>
          <w:numId w:val="2"/>
        </w:numPr>
      </w:pPr>
      <w:r>
        <w:rPr>
          <w:rFonts w:ascii="Arial" w:cs="Arial" w:eastAsia="Arial" w:hAnsi="Arial"/>
          <w:color w:val="3A4A5A"/>
          <w:sz w:val="22"/>
          <w:szCs w:val="22"/>
        </w:rPr>
        <w:t xml:space="preserve">Policy or procedure allegedly breached.</w:t>
      </w:r>
    </w:p>
    <w:p>
      <w:pPr>
        <w:pStyle w:val="ListParagraph"/>
        <w:numPr>
          <w:ilvl w:val="0"/>
          <w:numId w:val="2"/>
        </w:numPr>
      </w:pPr>
      <w:r>
        <w:rPr>
          <w:rFonts w:ascii="Arial" w:cs="Arial" w:eastAsia="Arial" w:hAnsi="Arial"/>
          <w:color w:val="3A4A5A"/>
          <w:sz w:val="22"/>
          <w:szCs w:val="22"/>
        </w:rPr>
        <w:t xml:space="preserve">Right to representation by a union representative or co-employee.</w:t>
      </w:r>
    </w:p>
    <w:p>
      <w:pPr>
        <w:pStyle w:val="ListParagraph"/>
        <w:numPr>
          <w:ilvl w:val="0"/>
          <w:numId w:val="2"/>
        </w:numPr>
      </w:pPr>
      <w:r>
        <w:rPr>
          <w:rFonts w:ascii="Arial" w:cs="Arial" w:eastAsia="Arial" w:hAnsi="Arial"/>
          <w:color w:val="3A4A5A"/>
          <w:sz w:val="22"/>
          <w:szCs w:val="22"/>
        </w:rPr>
        <w:t xml:space="preserve">Minimum 48 hours' notice (or as agreed).</w:t>
      </w:r>
    </w:p>
    <w:p>
      <w:pPr>
        <w:pStyle w:val="Heading3"/>
      </w:pPr>
      <w:r>
        <w:t xml:space="preserve">6.2 Representation</w:t>
      </w:r>
    </w:p>
    <w:p>
      <w:pPr>
        <w:spacing w:after="60" w:before="60"/>
      </w:pPr>
      <w:r>
        <w:rPr>
          <w:rFonts w:ascii="Arial" w:cs="Arial" w:eastAsia="Arial" w:hAnsi="Arial"/>
          <w:b w:val="false"/>
          <w:bCs w:val="false"/>
          <w:color w:val="3A4A5A"/>
          <w:sz w:val="22"/>
          <w:szCs w:val="22"/>
        </w:rPr>
        <w:t xml:space="preserve">Employee may be represented by a union representative (if a union member) or a co-employee. Legal representation typically not permitted unless case involves complex legal issues.</w:t>
      </w:r>
    </w:p>
    <w:p>
      <w:pPr>
        <w:pStyle w:val="Heading3"/>
      </w:pPr>
      <w:r>
        <w:t xml:space="preserve">6.3 Hearing Conduct</w:t>
      </w:r>
    </w:p>
    <w:p>
      <w:pPr>
        <w:pStyle w:val="ListParagraph"/>
        <w:numPr>
          <w:ilvl w:val="0"/>
          <w:numId w:val="2"/>
        </w:numPr>
      </w:pPr>
      <w:r>
        <w:rPr>
          <w:rFonts w:ascii="Arial" w:cs="Arial" w:eastAsia="Arial" w:hAnsi="Arial"/>
          <w:color w:val="3A4A5A"/>
          <w:sz w:val="22"/>
          <w:szCs w:val="22"/>
        </w:rPr>
        <w:t xml:space="preserve">Chairperson (senior manager or HR representative) presents case.</w:t>
      </w:r>
    </w:p>
    <w:p>
      <w:pPr>
        <w:pStyle w:val="ListParagraph"/>
        <w:numPr>
          <w:ilvl w:val="0"/>
          <w:numId w:val="2"/>
        </w:numPr>
      </w:pPr>
      <w:r>
        <w:rPr>
          <w:rFonts w:ascii="Arial" w:cs="Arial" w:eastAsia="Arial" w:hAnsi="Arial"/>
          <w:color w:val="3A4A5A"/>
          <w:sz w:val="22"/>
          <w:szCs w:val="22"/>
        </w:rPr>
        <w:t xml:space="preserve">Employee afforded opportunity to respond to allegations.</w:t>
      </w:r>
    </w:p>
    <w:p>
      <w:pPr>
        <w:pStyle w:val="ListParagraph"/>
        <w:numPr>
          <w:ilvl w:val="0"/>
          <w:numId w:val="2"/>
        </w:numPr>
      </w:pPr>
      <w:r>
        <w:rPr>
          <w:rFonts w:ascii="Arial" w:cs="Arial" w:eastAsia="Arial" w:hAnsi="Arial"/>
          <w:color w:val="3A4A5A"/>
          <w:sz w:val="22"/>
          <w:szCs w:val="22"/>
        </w:rPr>
        <w:t xml:space="preserve">Witnesses may be called by both parties.</w:t>
      </w:r>
    </w:p>
    <w:p>
      <w:pPr>
        <w:pStyle w:val="ListParagraph"/>
        <w:numPr>
          <w:ilvl w:val="0"/>
          <w:numId w:val="2"/>
        </w:numPr>
      </w:pPr>
      <w:r>
        <w:rPr>
          <w:rFonts w:ascii="Arial" w:cs="Arial" w:eastAsia="Arial" w:hAnsi="Arial"/>
          <w:color w:val="3A4A5A"/>
          <w:sz w:val="22"/>
          <w:szCs w:val="22"/>
        </w:rPr>
        <w:t xml:space="preserve">Virtual or remote hearings permissible if agreed or circumstances require.</w:t>
      </w:r>
    </w:p>
    <w:p>
      <w:pPr>
        <w:pStyle w:val="ListParagraph"/>
        <w:numPr>
          <w:ilvl w:val="0"/>
          <w:numId w:val="2"/>
        </w:numPr>
      </w:pPr>
      <w:r>
        <w:rPr>
          <w:rFonts w:ascii="Arial" w:cs="Arial" w:eastAsia="Arial" w:hAnsi="Arial"/>
          <w:color w:val="3A4A5A"/>
          <w:sz w:val="22"/>
          <w:szCs w:val="22"/>
        </w:rPr>
        <w:t xml:space="preserve">Hearing conducted professionally and objectively.</w:t>
      </w:r>
    </w:p>
    <w:p>
      <w:pPr>
        <w:pStyle w:val="Heading3"/>
      </w:pPr>
      <w:r>
        <w:t xml:space="preserve">6.4 Decision and Sanction</w:t>
      </w:r>
    </w:p>
    <w:p>
      <w:pPr>
        <w:spacing w:after="60" w:before="60"/>
      </w:pPr>
      <w:r>
        <w:rPr>
          <w:rFonts w:ascii="Arial" w:cs="Arial" w:eastAsia="Arial" w:hAnsi="Arial"/>
          <w:b w:val="false"/>
          <w:bCs w:val="false"/>
          <w:color w:val="3A4A5A"/>
          <w:sz w:val="22"/>
          <w:szCs w:val="22"/>
        </w:rPr>
        <w:t xml:space="preserve">Following hearing, chairperson to:</w:t>
      </w:r>
    </w:p>
    <w:p>
      <w:pPr>
        <w:pStyle w:val="ListParagraph"/>
        <w:numPr>
          <w:ilvl w:val="0"/>
          <w:numId w:val="3"/>
        </w:numPr>
      </w:pPr>
      <w:r>
        <w:rPr>
          <w:rFonts w:ascii="Arial" w:cs="Arial" w:eastAsia="Arial" w:hAnsi="Arial"/>
          <w:color w:val="3A4A5A"/>
          <w:sz w:val="22"/>
          <w:szCs w:val="22"/>
        </w:rPr>
        <w:t xml:space="preserve">Evaluate evidence presented.</w:t>
      </w:r>
    </w:p>
    <w:p>
      <w:pPr>
        <w:pStyle w:val="ListParagraph"/>
        <w:numPr>
          <w:ilvl w:val="0"/>
          <w:numId w:val="3"/>
        </w:numPr>
      </w:pPr>
      <w:r>
        <w:rPr>
          <w:rFonts w:ascii="Arial" w:cs="Arial" w:eastAsia="Arial" w:hAnsi="Arial"/>
          <w:color w:val="3A4A5A"/>
          <w:sz w:val="22"/>
          <w:szCs w:val="22"/>
        </w:rPr>
        <w:t xml:space="preserve">Determine whether misconduct has been proven on a balance of probabilities.</w:t>
      </w:r>
    </w:p>
    <w:p>
      <w:pPr>
        <w:pStyle w:val="ListParagraph"/>
        <w:numPr>
          <w:ilvl w:val="0"/>
          <w:numId w:val="3"/>
        </w:numPr>
      </w:pPr>
      <w:r>
        <w:rPr>
          <w:rFonts w:ascii="Arial" w:cs="Arial" w:eastAsia="Arial" w:hAnsi="Arial"/>
          <w:color w:val="3A4A5A"/>
          <w:sz w:val="22"/>
          <w:szCs w:val="22"/>
        </w:rPr>
        <w:t xml:space="preserve">If proven, apply progressive discipline.</w:t>
      </w:r>
    </w:p>
    <w:p>
      <w:pPr>
        <w:pStyle w:val="ListParagraph"/>
        <w:numPr>
          <w:ilvl w:val="0"/>
          <w:numId w:val="3"/>
        </w:numPr>
      </w:pPr>
      <w:r>
        <w:rPr>
          <w:rFonts w:ascii="Arial" w:cs="Arial" w:eastAsia="Arial" w:hAnsi="Arial"/>
          <w:color w:val="3A4A5A"/>
          <w:sz w:val="22"/>
          <w:szCs w:val="22"/>
        </w:rPr>
        <w:t xml:space="preserve">Issue decision in writing within 5 working days.</w:t>
      </w:r>
    </w:p>
    <w:p>
      <w:pPr>
        <w:pStyle w:val="ListParagraph"/>
        <w:numPr>
          <w:ilvl w:val="0"/>
          <w:numId w:val="3"/>
        </w:numPr>
      </w:pPr>
      <w:r>
        <w:rPr>
          <w:rFonts w:ascii="Arial" w:cs="Arial" w:eastAsia="Arial" w:hAnsi="Arial"/>
          <w:color w:val="3A4A5A"/>
          <w:sz w:val="22"/>
          <w:szCs w:val="22"/>
        </w:rPr>
        <w:t xml:space="preserve">Communicate outcome to employee, representation, and HR.</w:t>
      </w:r>
    </w:p>
    <w:p>
      <w:pPr>
        <w:pStyle w:val="Heading2"/>
      </w:pPr>
      <w:r>
        <w:t xml:space="preserve">7. Suspension Pending Investigation</w:t>
      </w:r>
    </w:p>
    <w:p>
      <w:pPr>
        <w:spacing w:after="60" w:before="60"/>
      </w:pPr>
      <w:r>
        <w:rPr>
          <w:rFonts w:ascii="Arial" w:cs="Arial" w:eastAsia="Arial" w:hAnsi="Arial"/>
          <w:b w:val="false"/>
          <w:bCs w:val="false"/>
          <w:color w:val="3A4A5A"/>
          <w:sz w:val="22"/>
          <w:szCs w:val="22"/>
        </w:rPr>
        <w:t xml:space="preserve">Employer may suspend employee on full pay while investigation or disciplinary process is underway, provided:</w:t>
      </w:r>
    </w:p>
    <w:p>
      <w:pPr>
        <w:pStyle w:val="ListParagraph"/>
        <w:numPr>
          <w:ilvl w:val="0"/>
          <w:numId w:val="2"/>
        </w:numPr>
      </w:pPr>
      <w:r>
        <w:rPr>
          <w:rFonts w:ascii="Arial" w:cs="Arial" w:eastAsia="Arial" w:hAnsi="Arial"/>
          <w:color w:val="3A4A5A"/>
          <w:sz w:val="22"/>
          <w:szCs w:val="22"/>
        </w:rPr>
        <w:t xml:space="preserve">Suspension is not punitive in nature.</w:t>
      </w:r>
    </w:p>
    <w:p>
      <w:pPr>
        <w:pStyle w:val="ListParagraph"/>
        <w:numPr>
          <w:ilvl w:val="0"/>
          <w:numId w:val="2"/>
        </w:numPr>
      </w:pPr>
      <w:r>
        <w:rPr>
          <w:rFonts w:ascii="Arial" w:cs="Arial" w:eastAsia="Arial" w:hAnsi="Arial"/>
          <w:color w:val="3A4A5A"/>
          <w:sz w:val="22"/>
          <w:szCs w:val="22"/>
        </w:rPr>
        <w:t xml:space="preserve">Duration is reasonable (typically not exceeding 30 days without review).</w:t>
      </w:r>
    </w:p>
    <w:p>
      <w:pPr>
        <w:pStyle w:val="ListParagraph"/>
        <w:numPr>
          <w:ilvl w:val="0"/>
          <w:numId w:val="2"/>
        </w:numPr>
      </w:pPr>
      <w:r>
        <w:rPr>
          <w:rFonts w:ascii="Arial" w:cs="Arial" w:eastAsia="Arial" w:hAnsi="Arial"/>
          <w:color w:val="3A4A5A"/>
          <w:sz w:val="22"/>
          <w:szCs w:val="22"/>
        </w:rPr>
        <w:t xml:space="preserve">Employee remains on full salary and benefits.</w:t>
      </w:r>
    </w:p>
    <w:p>
      <w:pPr>
        <w:pStyle w:val="ListParagraph"/>
        <w:numPr>
          <w:ilvl w:val="0"/>
          <w:numId w:val="2"/>
        </w:numPr>
      </w:pPr>
      <w:r>
        <w:rPr>
          <w:rFonts w:ascii="Arial" w:cs="Arial" w:eastAsia="Arial" w:hAnsi="Arial"/>
          <w:color w:val="3A4A5A"/>
          <w:sz w:val="22"/>
          <w:szCs w:val="22"/>
        </w:rPr>
        <w:t xml:space="preserve">Written notice provided.</w:t>
      </w:r>
    </w:p>
    <w:p>
      <w:pPr>
        <w:pStyle w:val="ListParagraph"/>
        <w:numPr>
          <w:ilvl w:val="0"/>
          <w:numId w:val="2"/>
        </w:numPr>
      </w:pPr>
      <w:r>
        <w:rPr>
          <w:rFonts w:ascii="Arial" w:cs="Arial" w:eastAsia="Arial" w:hAnsi="Arial"/>
          <w:color w:val="3A4A5A"/>
          <w:sz w:val="22"/>
          <w:szCs w:val="22"/>
        </w:rPr>
        <w:t xml:space="preserve">Intended to prevent interference with investigation or risk to business.</w:t>
      </w:r>
    </w:p>
    <w:p>
      <w:pPr>
        <w:pStyle w:val="Heading2"/>
      </w:pPr>
      <w:r>
        <w:t xml:space="preserve">8. Right of Appeal</w:t>
      </w:r>
    </w:p>
    <w:p>
      <w:pPr>
        <w:spacing w:after="60" w:before="60"/>
      </w:pPr>
      <w:r>
        <w:rPr>
          <w:rFonts w:ascii="Arial" w:cs="Arial" w:eastAsia="Arial" w:hAnsi="Arial"/>
          <w:b w:val="false"/>
          <w:bCs w:val="false"/>
          <w:color w:val="3A4A5A"/>
          <w:sz w:val="22"/>
          <w:szCs w:val="22"/>
        </w:rPr>
        <w:t xml:space="preserve">Employee may appeal a disciplinary decision within 5 working days of receiving written outcome.</w:t>
      </w:r>
    </w:p>
    <w:p>
      <w:pPr>
        <w:spacing w:after="60" w:before="60"/>
      </w:pPr>
      <w:r>
        <w:rPr>
          <w:rFonts w:ascii="Arial" w:cs="Arial" w:eastAsia="Arial" w:hAnsi="Arial"/>
          <w:b w:val="false"/>
          <w:bCs w:val="false"/>
          <w:color w:val="3A4A5A"/>
          <w:sz w:val="22"/>
          <w:szCs w:val="22"/>
        </w:rPr>
        <w:t xml:space="preserve">Appeal must be submitted in writing to the next level of management or HR.</w:t>
      </w:r>
    </w:p>
    <w:p>
      <w:pPr>
        <w:spacing w:after="60" w:before="60"/>
      </w:pPr>
      <w:r>
        <w:rPr>
          <w:rFonts w:ascii="Arial" w:cs="Arial" w:eastAsia="Arial" w:hAnsi="Arial"/>
          <w:b w:val="false"/>
          <w:bCs w:val="false"/>
          <w:color w:val="3A4A5A"/>
          <w:sz w:val="22"/>
          <w:szCs w:val="22"/>
        </w:rPr>
        <w:t xml:space="preserve">Appeal hearing must be conducted by manager not involved in original decision.</w:t>
      </w:r>
    </w:p>
    <w:p>
      <w:pPr>
        <w:spacing w:after="60" w:before="60"/>
      </w:pPr>
      <w:r>
        <w:rPr>
          <w:rFonts w:ascii="Arial" w:cs="Arial" w:eastAsia="Arial" w:hAnsi="Arial"/>
          <w:b w:val="false"/>
          <w:bCs w:val="false"/>
          <w:color w:val="3A4A5A"/>
          <w:sz w:val="22"/>
          <w:szCs w:val="22"/>
        </w:rPr>
        <w:t xml:space="preserve">Decision on appeal communicated in writing within 5 working days.</w:t>
      </w:r>
    </w:p>
    <w:p>
      <w:pPr>
        <w:pStyle w:val="Heading2"/>
      </w:pPr>
      <w:r>
        <w:t xml:space="preserve">9. CCMA Referral</w:t>
      </w:r>
    </w:p>
    <w:p>
      <w:pPr>
        <w:spacing w:after="60" w:before="60"/>
      </w:pPr>
      <w:r>
        <w:rPr>
          <w:rFonts w:ascii="Arial" w:cs="Arial" w:eastAsia="Arial" w:hAnsi="Arial"/>
          <w:b w:val="false"/>
          <w:bCs w:val="false"/>
          <w:color w:val="3A4A5A"/>
          <w:sz w:val="22"/>
          <w:szCs w:val="22"/>
        </w:rPr>
        <w:t xml:space="preserve">If employee disputes the fairness or validity of dismissal, they may refer the matter to the Commission for Conciliation, Mediation and Arbitration (CCMA) within 30 days of dismissal, in accordance with s191 of the LRA.</w:t>
      </w:r>
    </w:p>
    <w:p>
      <w:pPr>
        <w:pStyle w:val="Heading2"/>
      </w:pPr>
      <w:r>
        <w:t xml:space="preserve">10. Employee Rights</w:t>
      </w:r>
    </w:p>
    <w:p>
      <w:pPr>
        <w:pStyle w:val="ListParagraph"/>
        <w:numPr>
          <w:ilvl w:val="0"/>
          <w:numId w:val="2"/>
        </w:numPr>
      </w:pPr>
      <w:r>
        <w:rPr>
          <w:rFonts w:ascii="Arial" w:cs="Arial" w:eastAsia="Arial" w:hAnsi="Arial"/>
          <w:color w:val="3A4A5A"/>
          <w:sz w:val="22"/>
          <w:szCs w:val="22"/>
        </w:rPr>
        <w:t xml:space="preserve">Right to fair hearing with natural justice.</w:t>
      </w:r>
    </w:p>
    <w:p>
      <w:pPr>
        <w:pStyle w:val="ListParagraph"/>
        <w:numPr>
          <w:ilvl w:val="0"/>
          <w:numId w:val="2"/>
        </w:numPr>
      </w:pPr>
      <w:r>
        <w:rPr>
          <w:rFonts w:ascii="Arial" w:cs="Arial" w:eastAsia="Arial" w:hAnsi="Arial"/>
          <w:color w:val="3A4A5A"/>
          <w:sz w:val="22"/>
          <w:szCs w:val="22"/>
        </w:rPr>
        <w:t xml:space="preserve">Right to representation.</w:t>
      </w:r>
    </w:p>
    <w:p>
      <w:pPr>
        <w:pStyle w:val="ListParagraph"/>
        <w:numPr>
          <w:ilvl w:val="0"/>
          <w:numId w:val="2"/>
        </w:numPr>
      </w:pPr>
      <w:r>
        <w:rPr>
          <w:rFonts w:ascii="Arial" w:cs="Arial" w:eastAsia="Arial" w:hAnsi="Arial"/>
          <w:color w:val="3A4A5A"/>
          <w:sz w:val="22"/>
          <w:szCs w:val="22"/>
        </w:rPr>
        <w:t xml:space="preserve">Right to respond to allegations.</w:t>
      </w:r>
    </w:p>
    <w:p>
      <w:pPr>
        <w:pStyle w:val="ListParagraph"/>
        <w:numPr>
          <w:ilvl w:val="0"/>
          <w:numId w:val="2"/>
        </w:numPr>
      </w:pPr>
      <w:r>
        <w:rPr>
          <w:rFonts w:ascii="Arial" w:cs="Arial" w:eastAsia="Arial" w:hAnsi="Arial"/>
          <w:color w:val="3A4A5A"/>
          <w:sz w:val="22"/>
          <w:szCs w:val="22"/>
        </w:rPr>
        <w:t xml:space="preserve">Right to appeal.</w:t>
      </w:r>
    </w:p>
    <w:p>
      <w:pPr>
        <w:pStyle w:val="ListParagraph"/>
        <w:numPr>
          <w:ilvl w:val="0"/>
          <w:numId w:val="2"/>
        </w:numPr>
      </w:pPr>
      <w:r>
        <w:rPr>
          <w:rFonts w:ascii="Arial" w:cs="Arial" w:eastAsia="Arial" w:hAnsi="Arial"/>
          <w:color w:val="3A4A5A"/>
          <w:sz w:val="22"/>
          <w:szCs w:val="22"/>
        </w:rPr>
        <w:t xml:space="preserve">Right to access all relevant documentation.</w:t>
      </w:r>
    </w:p>
    <w:p>
      <w:pPr>
        <w:pStyle w:val="ListParagraph"/>
        <w:numPr>
          <w:ilvl w:val="0"/>
          <w:numId w:val="2"/>
        </w:numPr>
      </w:pPr>
      <w:r>
        <w:rPr>
          <w:rFonts w:ascii="Arial" w:cs="Arial" w:eastAsia="Arial" w:hAnsi="Arial"/>
          <w:color w:val="3A4A5A"/>
          <w:sz w:val="22"/>
          <w:szCs w:val="22"/>
        </w:rPr>
        <w:t xml:space="preserve">Right to protection against victimisation.</w:t>
      </w:r>
    </w:p>
    <w:p>
      <w:pPr>
        <w:pStyle w:val="ListParagraph"/>
        <w:numPr>
          <w:ilvl w:val="0"/>
          <w:numId w:val="2"/>
        </w:numPr>
      </w:pPr>
      <w:r>
        <w:rPr>
          <w:rFonts w:ascii="Arial" w:cs="Arial" w:eastAsia="Arial" w:hAnsi="Arial"/>
          <w:color w:val="3A4A5A"/>
          <w:sz w:val="22"/>
          <w:szCs w:val="22"/>
        </w:rPr>
        <w:t xml:space="preserve">Right to confidentiality (to extent possible).</w:t>
      </w:r>
    </w:p>
    <w:p>
      <w:pPr>
        <w:pStyle w:val="Heading2"/>
      </w:pPr>
      <w:r>
        <w:t xml:space="preserve">11. Chairperson Checklist</w:t>
      </w:r>
    </w:p>
    <w:p>
      <w:pPr>
        <w:pStyle w:val="ListParagraph"/>
        <w:numPr>
          <w:ilvl w:val="0"/>
          <w:numId w:val="2"/>
        </w:numPr>
      </w:pPr>
      <w:r>
        <w:rPr>
          <w:rFonts w:ascii="Arial" w:cs="Arial" w:eastAsia="Arial" w:hAnsi="Arial"/>
          <w:color w:val="3A4A5A"/>
          <w:sz w:val="22"/>
          <w:szCs w:val="22"/>
        </w:rPr>
        <w:t xml:space="preserve">Is the allegation clearly stated and substantiated?</w:t>
      </w:r>
    </w:p>
    <w:p>
      <w:pPr>
        <w:pStyle w:val="ListParagraph"/>
        <w:numPr>
          <w:ilvl w:val="0"/>
          <w:numId w:val="2"/>
        </w:numPr>
      </w:pPr>
      <w:r>
        <w:rPr>
          <w:rFonts w:ascii="Arial" w:cs="Arial" w:eastAsia="Arial" w:hAnsi="Arial"/>
          <w:color w:val="3A4A5A"/>
          <w:sz w:val="22"/>
          <w:szCs w:val="22"/>
        </w:rPr>
        <w:t xml:space="preserve">Has employee been afforded opportunity to respond?</w:t>
      </w:r>
    </w:p>
    <w:p>
      <w:pPr>
        <w:pStyle w:val="ListParagraph"/>
        <w:numPr>
          <w:ilvl w:val="0"/>
          <w:numId w:val="2"/>
        </w:numPr>
      </w:pPr>
      <w:r>
        <w:rPr>
          <w:rFonts w:ascii="Arial" w:cs="Arial" w:eastAsia="Arial" w:hAnsi="Arial"/>
          <w:color w:val="3A4A5A"/>
          <w:sz w:val="22"/>
          <w:szCs w:val="22"/>
        </w:rPr>
        <w:t xml:space="preserve">Has representation been arranged?</w:t>
      </w:r>
    </w:p>
    <w:p>
      <w:pPr>
        <w:pStyle w:val="ListParagraph"/>
        <w:numPr>
          <w:ilvl w:val="0"/>
          <w:numId w:val="2"/>
        </w:numPr>
      </w:pPr>
      <w:r>
        <w:rPr>
          <w:rFonts w:ascii="Arial" w:cs="Arial" w:eastAsia="Arial" w:hAnsi="Arial"/>
          <w:color w:val="3A4A5A"/>
          <w:sz w:val="22"/>
          <w:szCs w:val="22"/>
        </w:rPr>
        <w:t xml:space="preserve">Is the evidence credible and sufficient?</w:t>
      </w:r>
    </w:p>
    <w:p>
      <w:pPr>
        <w:pStyle w:val="ListParagraph"/>
        <w:numPr>
          <w:ilvl w:val="0"/>
          <w:numId w:val="2"/>
        </w:numPr>
      </w:pPr>
      <w:r>
        <w:rPr>
          <w:rFonts w:ascii="Arial" w:cs="Arial" w:eastAsia="Arial" w:hAnsi="Arial"/>
          <w:color w:val="3A4A5A"/>
          <w:sz w:val="22"/>
          <w:szCs w:val="22"/>
        </w:rPr>
        <w:t xml:space="preserve">Is the penalty proportionate to the offence?</w:t>
      </w:r>
    </w:p>
    <w:p>
      <w:pPr>
        <w:pStyle w:val="ListParagraph"/>
        <w:numPr>
          <w:ilvl w:val="0"/>
          <w:numId w:val="2"/>
        </w:numPr>
      </w:pPr>
      <w:r>
        <w:rPr>
          <w:rFonts w:ascii="Arial" w:cs="Arial" w:eastAsia="Arial" w:hAnsi="Arial"/>
          <w:color w:val="3A4A5A"/>
          <w:sz w:val="22"/>
          <w:szCs w:val="22"/>
        </w:rPr>
        <w:t xml:space="preserve">Are other similar cases treated consistently?</w:t>
      </w:r>
    </w:p>
    <w:p>
      <w:pPr>
        <w:pStyle w:val="ListParagraph"/>
        <w:numPr>
          <w:ilvl w:val="0"/>
          <w:numId w:val="2"/>
        </w:numPr>
      </w:pPr>
      <w:r>
        <w:rPr>
          <w:rFonts w:ascii="Arial" w:cs="Arial" w:eastAsia="Arial" w:hAnsi="Arial"/>
          <w:color w:val="3A4A5A"/>
          <w:sz w:val="22"/>
          <w:szCs w:val="22"/>
        </w:rPr>
        <w:t xml:space="preserve">Has the company followed its own procedure?</w:t>
      </w:r>
    </w:p>
    <w:p>
      <w:pPr>
        <w:pStyle w:val="ListParagraph"/>
        <w:numPr>
          <w:ilvl w:val="0"/>
          <w:numId w:val="2"/>
        </w:numPr>
      </w:pPr>
      <w:r>
        <w:rPr>
          <w:rFonts w:ascii="Arial" w:cs="Arial" w:eastAsia="Arial" w:hAnsi="Arial"/>
          <w:color w:val="3A4A5A"/>
          <w:sz w:val="22"/>
          <w:szCs w:val="22"/>
        </w:rPr>
        <w:t xml:space="preserve">Is dismissal a fair sanction under the circumstances?</w:t>
      </w:r>
    </w:p>
    <w:p>
      <w:pPr>
        <w:pStyle w:val="ListParagraph"/>
        <w:numPr>
          <w:ilvl w:val="0"/>
          <w:numId w:val="2"/>
        </w:numPr>
      </w:pPr>
      <w:r>
        <w:rPr>
          <w:rFonts w:ascii="Arial" w:cs="Arial" w:eastAsia="Arial" w:hAnsi="Arial"/>
          <w:color w:val="3A4A5A"/>
          <w:sz w:val="22"/>
          <w:szCs w:val="22"/>
        </w:rPr>
        <w:t xml:space="preserve">Has all relevant evidence been considered?</w:t>
      </w:r>
    </w:p>
    <w:p>
      <w:pPr>
        <w:pStyle w:val="ListParagraph"/>
        <w:numPr>
          <w:ilvl w:val="0"/>
          <w:numId w:val="2"/>
        </w:numPr>
      </w:pPr>
      <w:r>
        <w:rPr>
          <w:rFonts w:ascii="Arial" w:cs="Arial" w:eastAsia="Arial" w:hAnsi="Arial"/>
          <w:color w:val="3A4A5A"/>
          <w:sz w:val="22"/>
          <w:szCs w:val="22"/>
        </w:rPr>
        <w:t xml:space="preserve">Are there mitigating factors?</w:t>
      </w:r>
    </w:p>
    <w:p>
      <w:pPr>
        <w:spacing w:after="0" w:before="300"/>
      </w:pPr>
    </w:p>
    <w:p>
      <w:pPr>
        <w:pStyle w:val="Heading2"/>
      </w:pPr>
      <w:r>
        <w:t xml:space="preserve">Sign-Off</w:t>
      </w:r>
    </w:p>
    <w:p>
      <w:pPr>
        <w:spacing w:after="60" w:before="60"/>
      </w:pPr>
      <w:r>
        <w:rPr>
          <w:rFonts w:ascii="Arial" w:cs="Arial" w:eastAsia="Arial" w:hAnsi="Arial"/>
          <w:b w:val="false"/>
          <w:bCs w:val="false"/>
          <w:color w:val="3A4A5A"/>
          <w:sz w:val="22"/>
          <w:szCs w:val="22"/>
        </w:rPr>
        <w:t xml:space="preserve">This policy has been reviewed and approved by the undersigned.</w:t>
      </w:r>
    </w:p>
    <w:p>
      <w:pPr>
        <w:spacing w:after="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3116"/>
        <w:gridCol w:w="2117"/>
      </w:tblGrid>
      <w:tr>
        <w:tc>
          <w:tcPr>
            <w:tcW w:type="dxa" w:w="26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6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1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bl>
    <w:p>
      <w:pPr>
        <w:spacing w:after="0" w:before="200"/>
      </w:pPr>
    </w:p>
    <w:p>
      <w:pPr>
        <w:pStyle w:val="Heading2"/>
      </w:pPr>
      <w:r>
        <w:t xml:space="preserve">Communication and Amendments</w:t>
      </w:r>
    </w:p>
    <w:p>
      <w:pPr>
        <w:pStyle w:val="ListParagraph"/>
        <w:numPr>
          <w:ilvl w:val="0"/>
          <w:numId w:val="2"/>
        </w:numPr>
      </w:pPr>
      <w:r>
        <w:rPr>
          <w:rFonts w:ascii="Arial" w:cs="Arial" w:eastAsia="Arial" w:hAnsi="Arial"/>
          <w:color w:val="3A4A5A"/>
          <w:sz w:val="22"/>
          <w:szCs w:val="22"/>
        </w:rPr>
        <w:t xml:space="preserve">Managers and team leaders must communicate this policy to all employees reporting to them.</w:t>
      </w:r>
    </w:p>
    <w:p>
      <w:pPr>
        <w:pStyle w:val="ListParagraph"/>
        <w:numPr>
          <w:ilvl w:val="0"/>
          <w:numId w:val="2"/>
        </w:numPr>
      </w:pPr>
      <w:r>
        <w:rPr>
          <w:rFonts w:ascii="Arial" w:cs="Arial" w:eastAsia="Arial" w:hAnsi="Arial"/>
          <w:color w:val="3A4A5A"/>
          <w:sz w:val="22"/>
          <w:szCs w:val="22"/>
        </w:rPr>
        <w:t xml:space="preserve">This policy may be amended from time to time without prior consultation or notice, subject to applicable legislation.</w:t>
      </w:r>
    </w:p>
    <w:p>
      <w:pPr>
        <w:pStyle w:val="ListParagraph"/>
        <w:numPr>
          <w:ilvl w:val="0"/>
          <w:numId w:val="2"/>
        </w:numPr>
      </w:pPr>
      <w:r>
        <w:rPr>
          <w:rFonts w:ascii="Arial" w:cs="Arial" w:eastAsia="Arial" w:hAnsi="Arial"/>
          <w:color w:val="3A4A5A"/>
          <w:sz w:val="22"/>
          <w:szCs w:val="22"/>
        </w:rPr>
        <w:t xml:space="preserve">The most current version of this policy will be made available on the company intranet or shared document repository.</w:t>
      </w:r>
    </w:p>
    <w:sectPr>
      <w:headerReference w:type="default" r:id="rId7"/>
      <w:footerReference w:type="default" r:id="rId8"/>
      <w:pgSz w:w="11906" w:h="16838" w:orient="portrait"/>
      <w:pgMar w:top="72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none"/>
        <w:left w:val="none"/>
        <w:bottom w:val="none"/>
        <w:right w:val="none"/>
        <w:insideH w:val="single" w:color="auto" w:sz="4"/>
        <w:insideV w:val="single" w:color="auto" w:sz="4"/>
      </w:tblBorders>
    </w:tblPr>
    <w:tblGrid>
      <w:gridCol w:w="6800"/>
      <w:gridCol w:w="3666"/>
    </w:tblGrid>
    <w:tr>
      <w:tc>
        <w:tcPr>
          <w:tcW w:type="dxa" w:w="6800"/>
          <w:tcBorders>
            <w:top w:val="single" w:color="DDE1EA" w:sz="4"/>
            <w:left w:val="none"/>
            <w:bottom w:val="none"/>
            <w:right w:val="none"/>
          </w:tcBorders>
          <w:tcMar>
            <w:top w:type="dxa" w:w="80"/>
            <w:left w:type="dxa" w:w="0"/>
            <w:bottom w:type="dxa" w:w="0"/>
            <w:right w:type="dxa" w:w="120"/>
          </w:tcMar>
        </w:tcPr>
        <w:p>
          <w:pPr>
            <w:spacing w:after="0" w:before="80"/>
          </w:pPr>
          <w:r>
            <w:rPr>
              <w:rFonts w:ascii="Arial" w:cs="Arial" w:eastAsia="Arial" w:hAnsi="Arial"/>
              <w:color w:val="8A98A8"/>
              <w:sz w:val="14"/>
              <w:szCs w:val="14"/>
            </w:rPr>
            <w:t xml:space="preserve">256 Rondebult Rd, Parkdene, Boksburg, 1459, Gauteng  |  Tel: +27(0)11-913-3320</w:t>
          </w:r>
        </w:p>
        <w:p>
          <w:pPr>
            <w:spacing w:after="0" w:before="20"/>
          </w:pPr>
          <w:r>
            <w:rPr>
              <w:rFonts w:ascii="Arial" w:cs="Arial" w:eastAsia="Arial" w:hAnsi="Arial"/>
              <w:color w:val="8A98A8"/>
              <w:sz w:val="14"/>
              <w:szCs w:val="14"/>
            </w:rPr>
            <w:t xml:space="preserve">Reg No: 1988/007393/07  |  VAT: 4210112126  |  Est. 1988</w:t>
          </w:r>
        </w:p>
        <w:p>
          <w:pPr>
            <w:spacing w:after="0" w:before="20"/>
          </w:pPr>
          <w:r>
            <w:rPr>
              <w:rFonts w:ascii="Arial" w:cs="Arial" w:eastAsia="Arial" w:hAnsi="Arial"/>
              <w:color w:val="8A98A8"/>
              <w:sz w:val="14"/>
              <w:szCs w:val="14"/>
            </w:rPr>
            <w:t xml:space="preserve">Directors: R.A. de Kock (Managing), C. Haasbroek</w:t>
          </w:r>
        </w:p>
      </w:tc>
      <w:tc>
        <w:tcPr>
          <w:tcW w:type="dxa" w:w="3666"/>
          <w:tcBorders>
            <w:top w:val="single" w:color="DDE1EA" w:sz="4"/>
            <w:left w:val="none"/>
            <w:bottom w:val="none"/>
            <w:right w:val="none"/>
          </w:tcBorders>
          <w:tcMar>
            <w:top w:type="dxa" w:w="80"/>
            <w:left w:type="dxa" w:w="120"/>
            <w:bottom w:type="dxa" w:w="0"/>
            <w:right w:type="dxa" w:w="0"/>
          </w:tcMar>
          <w:vAlign w:val="center"/>
        </w:tcPr>
        <w:p>
          <w:pPr>
            <w:spacing w:after="0" w:before="0"/>
            <w:jc w:val="right"/>
          </w:pPr>
          <w:r>
            <w:rPr>
              <w:rFonts w:ascii="Arial" w:cs="Arial" w:eastAsia="Arial" w:hAnsi="Arial"/>
              <w:color w:val="1B6FFF"/>
              <w:sz w:val="14"/>
              <w:szCs w:val="14"/>
            </w:rPr>
            <w:t xml:space="preserve">jera.co.za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FFF" w:sz="16" w:space="4"/>
      </w:pBdr>
      <w:spacing w:after="0"/>
      <w:jc w:val="left"/>
    </w:pPr>
    <w:r>
      <w:drawing>
        <wp:inline distT="0" distB="0" distL="0" distR="0">
          <wp:extent cx="1619250" cy="619125"/>
          <wp:effectExtent t="0" r="0" b="0" l="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jc w:val="center"/>
      <w:outlineLvl w:val="0"/>
    </w:pPr>
    <w:rPr>
      <w:rFonts w:ascii="Arial" w:cs="Arial" w:eastAsia="Arial" w:hAnsi="Arial"/>
      <w:b/>
      <w:bCs/>
      <w:color w:val="1A2F50"/>
      <w:sz w:val="32"/>
      <w:szCs w:val="32"/>
    </w:rPr>
  </w:style>
  <w:style w:type="paragraph" w:styleId="Heading2">
    <w:name w:val="Heading 2"/>
    <w:basedOn w:val="Normal"/>
    <w:next w:val="Normal"/>
    <w:qFormat/>
    <w:pPr>
      <w:pBdr>
        <w:bottom w:val="single" w:color="1B6FFF" w:sz="8" w:space="4"/>
      </w:pBdr>
      <w:spacing w:after="120" w:before="240"/>
      <w:outlineLvl w:val="1"/>
    </w:pPr>
    <w:rPr>
      <w:rFonts w:ascii="Arial" w:cs="Arial" w:eastAsia="Arial" w:hAnsi="Arial"/>
      <w:b/>
      <w:bCs/>
      <w:color w:val="1B6FF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2F5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72655ee311d7e1297b04267f2333d1d98c19f2f.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0B1824-7163-484D-9CB1-D2361EE73CF1}"/>
</file>

<file path=customXml/itemProps2.xml><?xml version="1.0" encoding="utf-8"?>
<ds:datastoreItem xmlns:ds="http://schemas.openxmlformats.org/officeDocument/2006/customXml" ds:itemID="{15D9D1D9-1704-4955-A901-A877F56C671F}"/>
</file>

<file path=customXml/itemProps3.xml><?xml version="1.0" encoding="utf-8"?>
<ds:datastoreItem xmlns:ds="http://schemas.openxmlformats.org/officeDocument/2006/customXml" ds:itemID="{32B15A92-9771-412B-A155-D785FB8A131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2026-04-13T13:55:31Z</dcterms:created>
  <dcterms:modified xsi:type="dcterms:W3CDTF">2026-04-13T13:55:31Z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