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2F50" w:val="clear"/>
        <w:tabs>
          <w:tab w:val="right" w:pos="10466"/>
        </w:tabs>
        <w:spacing w:after="120" w:before="0"/>
      </w:pPr>
      <w:r>
        <w:rPr>
          <w:rFonts w:ascii="Arial" w:cs="Arial" w:eastAsia="Arial" w:hAnsi="Arial"/>
          <w:b w:val="false"/>
          <w:bCs w:val="false"/>
          <w:color w:val="A0BADE"/>
          <w:sz w:val="17"/>
          <w:szCs w:val="17"/>
        </w:rPr>
        <w:t xml:space="preserve">Version 1.0  |  April 2026  |  Prepared by Jera Consulting (Pty) Ltd</w:t>
      </w:r>
      <w:r>
        <w:rPr>
          <w:rFonts w:ascii="Arial" w:cs="Arial" w:eastAsia="Arial" w:hAnsi="Arial"/>
          <w:b/>
          <w:bCs/>
          <w:color w:val="1B6FFF"/>
          <w:sz w:val="17"/>
          <w:szCs w:val="17"/>
        </w:rPr>
        <w:t xml:space="preserve">	JERA-POL-HR017</w:t>
      </w:r>
    </w:p>
    <w:p>
      <w:pPr>
        <w:pStyle w:val="Heading1"/>
      </w:pPr>
      <w:r>
        <w:t xml:space="preserve">Grievance Policy and Procedure</w:t>
      </w:r>
    </w:p>
    <w:p>
      <w:pPr>
        <w:spacing w:after="200" w:before="0"/>
        <w:jc w:val="center"/>
      </w:pPr>
      <w:r>
        <w:rPr>
          <w:rFonts w:ascii="Arial" w:cs="Arial" w:eastAsia="Arial" w:hAnsi="Arial"/>
          <w:color w:val="5A6A7A"/>
          <w:sz w:val="22"/>
          <w:szCs w:val="22"/>
        </w:rPr>
        <w:t xml:space="preserve">Jera Consulting (Pty) Ltd</w:t>
      </w:r>
    </w:p>
    <w:p>
      <w:pPr>
        <w:spacing w:after="200" w:before="12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16"/>
        <w:gridCol w:w="2617"/>
        <w:gridCol w:w="2617"/>
        <w:gridCol w:w="2616"/>
      </w:tblGrid>
      <w:tr>
        <w:tc>
          <w:tcPr>
            <w:tcW w:type="dxa" w:w="2616"/>
            <w:tcBorders>
              <w:top w:val="single" w:color="DDE1EA" w:sz="4"/>
              <w:left w:val="single" w:color="DDE1EA" w:sz="4"/>
              <w:bottom w:val="single" w:color="DDE1EA" w:sz="4"/>
              <w:right w:val="single" w:color="DDE1EA" w:sz="4"/>
            </w:tcBorders>
            <w:shd w:fill="1A2F50" w:val="clear"/>
            <w:tcMar>
              <w:top w:type="dxa" w:w="80"/>
              <w:left w:type="dxa" w:w="120"/>
              <w:bottom w:type="dxa" w:w="80"/>
              <w:right w:type="dxa" w:w="120"/>
            </w:tcMar>
          </w:tcPr>
          <w:p>
            <w:r>
              <w:rPr>
                <w:rFonts w:ascii="Arial" w:cs="Arial" w:eastAsia="Arial" w:hAnsi="Arial"/>
                <w:b/>
                <w:bCs/>
                <w:color w:val="FFFFFF"/>
                <w:sz w:val="18"/>
                <w:szCs w:val="18"/>
              </w:rPr>
              <w:t xml:space="preserve">Approval</w:t>
            </w:r>
          </w:p>
        </w:tc>
        <w:tc>
          <w:tcPr>
            <w:tcW w:type="dxa" w:w="2617"/>
            <w:tcBorders>
              <w:top w:val="single" w:color="DDE1EA" w:sz="4"/>
              <w:left w:val="single" w:color="DDE1EA" w:sz="4"/>
              <w:bottom w:val="single" w:color="DDE1EA" w:sz="4"/>
              <w:right w:val="single" w:color="DDE1EA" w:sz="4"/>
            </w:tcBorders>
            <w:shd w:fill="1A2F50" w:val="clear"/>
            <w:tcMar>
              <w:top w:type="dxa" w:w="80"/>
              <w:left w:type="dxa" w:w="120"/>
              <w:bottom w:type="dxa" w:w="80"/>
              <w:right w:type="dxa" w:w="120"/>
            </w:tcMar>
          </w:tcPr>
          <w:p>
            <w:r>
              <w:rPr>
                <w:rFonts w:ascii="Arial" w:cs="Arial" w:eastAsia="Arial" w:hAnsi="Arial"/>
                <w:b/>
                <w:bCs/>
                <w:color w:val="FFFFFF"/>
                <w:sz w:val="18"/>
                <w:szCs w:val="18"/>
              </w:rPr>
              <w:t xml:space="preserve">Department</w:t>
            </w:r>
          </w:p>
        </w:tc>
        <w:tc>
          <w:tcPr>
            <w:tcW w:type="dxa" w:w="2617"/>
            <w:tcBorders>
              <w:top w:val="single" w:color="DDE1EA" w:sz="4"/>
              <w:left w:val="single" w:color="DDE1EA" w:sz="4"/>
              <w:bottom w:val="single" w:color="DDE1EA" w:sz="4"/>
              <w:right w:val="single" w:color="DDE1EA" w:sz="4"/>
            </w:tcBorders>
            <w:shd w:fill="1A2F50" w:val="clear"/>
            <w:tcMar>
              <w:top w:type="dxa" w:w="80"/>
              <w:left w:type="dxa" w:w="120"/>
              <w:bottom w:type="dxa" w:w="80"/>
              <w:right w:type="dxa" w:w="120"/>
            </w:tcMar>
          </w:tcPr>
          <w:p>
            <w:r>
              <w:rPr>
                <w:rFonts w:ascii="Arial" w:cs="Arial" w:eastAsia="Arial" w:hAnsi="Arial"/>
                <w:b/>
                <w:bCs/>
                <w:color w:val="FFFFFF"/>
                <w:sz w:val="18"/>
                <w:szCs w:val="18"/>
              </w:rPr>
              <w:t xml:space="preserve">Job Title / Role</w:t>
            </w:r>
          </w:p>
        </w:tc>
        <w:tc>
          <w:tcPr>
            <w:tcW w:type="dxa" w:w="2616"/>
            <w:tcBorders>
              <w:top w:val="single" w:color="DDE1EA" w:sz="4"/>
              <w:left w:val="single" w:color="DDE1EA" w:sz="4"/>
              <w:bottom w:val="single" w:color="DDE1EA" w:sz="4"/>
              <w:right w:val="single" w:color="DDE1EA" w:sz="4"/>
            </w:tcBorders>
            <w:shd w:fill="1A2F50" w:val="clear"/>
            <w:tcMar>
              <w:top w:type="dxa" w:w="80"/>
              <w:left w:type="dxa" w:w="120"/>
              <w:bottom w:type="dxa" w:w="80"/>
              <w:right w:type="dxa" w:w="120"/>
            </w:tcMar>
          </w:tcPr>
          <w:p>
            <w:r>
              <w:rPr>
                <w:rFonts w:ascii="Arial" w:cs="Arial" w:eastAsia="Arial" w:hAnsi="Arial"/>
                <w:b/>
                <w:bCs/>
                <w:color w:val="FFFFFF"/>
                <w:sz w:val="18"/>
                <w:szCs w:val="18"/>
              </w:rPr>
              <w:t xml:space="preserve">Signature &amp; Date</w:t>
            </w:r>
          </w:p>
        </w:tc>
      </w:tr>
      <w:tr>
        <w:tc>
          <w:tcPr>
            <w:tcW w:type="dxa" w:w="2616"/>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b w:val="false"/>
                <w:bCs w:val="false"/>
                <w:color w:val="5A6A7A"/>
                <w:sz w:val="18"/>
                <w:szCs w:val="18"/>
              </w:rPr>
              <w:t xml:space="preserve">Document Owner</w:t>
            </w:r>
          </w:p>
        </w:tc>
        <w:tc>
          <w:tcPr>
            <w:tcW w:type="dxa" w:w="2617"/>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b w:val="false"/>
                <w:bCs w:val="false"/>
                <w:color w:val="3A4A5A"/>
                <w:sz w:val="18"/>
                <w:szCs w:val="18"/>
              </w:rPr>
              <w:t xml:space="preserve">Operations</w:t>
            </w:r>
          </w:p>
        </w:tc>
        <w:tc>
          <w:tcPr>
            <w:tcW w:type="dxa" w:w="2617"/>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b w:val="false"/>
                <w:bCs w:val="false"/>
                <w:color w:val="3A4A5A"/>
                <w:sz w:val="18"/>
                <w:szCs w:val="18"/>
              </w:rPr>
              <w:t xml:space="preserve">Managing Director</w:t>
            </w:r>
          </w:p>
        </w:tc>
        <w:tc>
          <w:tcPr>
            <w:tcW w:type="dxa" w:w="2616"/>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b w:val="false"/>
                <w:bCs w:val="false"/>
                <w:color w:val="3A4A5A"/>
                <w:sz w:val="18"/>
                <w:szCs w:val="18"/>
              </w:rPr>
              <w:t xml:space="preserve"/>
            </w:r>
          </w:p>
        </w:tc>
      </w:tr>
      <w:tr>
        <w:tc>
          <w:tcPr>
            <w:tcW w:type="dxa" w:w="2616"/>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b w:val="false"/>
                <w:bCs w:val="false"/>
                <w:color w:val="5A6A7A"/>
                <w:sz w:val="18"/>
                <w:szCs w:val="18"/>
              </w:rPr>
              <w:t xml:space="preserve">Approved by</w:t>
            </w:r>
          </w:p>
        </w:tc>
        <w:tc>
          <w:tcPr>
            <w:tcW w:type="dxa" w:w="2617"/>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b w:val="false"/>
                <w:bCs w:val="false"/>
                <w:color w:val="3A4A5A"/>
                <w:sz w:val="18"/>
                <w:szCs w:val="18"/>
              </w:rPr>
              <w:t xml:space="preserve">Management</w:t>
            </w:r>
          </w:p>
        </w:tc>
        <w:tc>
          <w:tcPr>
            <w:tcW w:type="dxa" w:w="2617"/>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b w:val="false"/>
                <w:bCs w:val="false"/>
                <w:color w:val="3A4A5A"/>
                <w:sz w:val="18"/>
                <w:szCs w:val="18"/>
              </w:rPr>
              <w:t xml:space="preserve">Managing Director</w:t>
            </w:r>
          </w:p>
        </w:tc>
        <w:tc>
          <w:tcPr>
            <w:tcW w:type="dxa" w:w="2616"/>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b w:val="false"/>
                <w:bCs w:val="false"/>
                <w:color w:val="3A4A5A"/>
                <w:sz w:val="18"/>
                <w:szCs w:val="18"/>
              </w:rPr>
              <w:t xml:space="preserve"/>
            </w:r>
          </w:p>
        </w:tc>
      </w:tr>
    </w:tbl>
    <w:p>
      <w:pPr>
        <w:spacing w:after="0" w:before="200"/>
      </w:pPr>
    </w:p>
    <w:p>
      <w:pPr>
        <w:pStyle w:val="Heading2"/>
      </w:pPr>
      <w:r>
        <w:t xml:space="preserve">1. Introduction</w:t>
      </w:r>
    </w:p>
    <w:p>
      <w:pPr>
        <w:spacing w:after="60" w:before="60"/>
      </w:pPr>
      <w:r>
        <w:rPr>
          <w:rFonts w:ascii="Arial" w:cs="Arial" w:eastAsia="Arial" w:hAnsi="Arial"/>
          <w:b w:val="false"/>
          <w:bCs w:val="false"/>
          <w:color w:val="3A4A5A"/>
          <w:sz w:val="22"/>
          <w:szCs w:val="22"/>
        </w:rPr>
        <w:t xml:space="preserve">This policy establishes a comprehensive framework for employees to voice grievances and concerns in the workplace in a fair, timely, and confidential manner. Grievance procedures ensure that all employee concerns are heard, investigated, and resolved equitably.</w:t>
      </w:r>
    </w:p>
    <w:p>
      <w:pPr>
        <w:pStyle w:val="Heading2"/>
      </w:pPr>
      <w:r>
        <w:t xml:space="preserve">2. Objective</w:t>
      </w:r>
    </w:p>
    <w:p>
      <w:pPr>
        <w:spacing w:after="60" w:before="60"/>
      </w:pPr>
      <w:r>
        <w:rPr>
          <w:rFonts w:ascii="Arial" w:cs="Arial" w:eastAsia="Arial" w:hAnsi="Arial"/>
          <w:b w:val="false"/>
          <w:bCs w:val="false"/>
          <w:color w:val="3A4A5A"/>
          <w:sz w:val="22"/>
          <w:szCs w:val="22"/>
        </w:rPr>
        <w:t xml:space="preserve">To provide employees with a structured mechanism to raise concerns or complaints about their employment, treatment, or working conditions, whilst protecting both employee interests and the company's operational integrity.</w:t>
      </w:r>
    </w:p>
    <w:p>
      <w:pPr>
        <w:pStyle w:val="Heading2"/>
      </w:pPr>
      <w:r>
        <w:t xml:space="preserve">3. General Principles</w:t>
      </w:r>
    </w:p>
    <w:p>
      <w:pPr>
        <w:pStyle w:val="ListParagraph"/>
        <w:numPr>
          <w:ilvl w:val="0"/>
          <w:numId w:val="2"/>
        </w:numPr>
      </w:pPr>
      <w:r>
        <w:rPr>
          <w:rFonts w:ascii="Arial" w:cs="Arial" w:eastAsia="Arial" w:hAnsi="Arial"/>
          <w:color w:val="3A4A5A"/>
          <w:sz w:val="22"/>
          <w:szCs w:val="22"/>
        </w:rPr>
        <w:t xml:space="preserve">Accessibility: Grievance procedures must be accessible to all employees regardless of tenure, position, or status.</w:t>
      </w:r>
    </w:p>
    <w:p>
      <w:pPr>
        <w:pStyle w:val="ListParagraph"/>
        <w:numPr>
          <w:ilvl w:val="0"/>
          <w:numId w:val="2"/>
        </w:numPr>
      </w:pPr>
      <w:r>
        <w:rPr>
          <w:rFonts w:ascii="Arial" w:cs="Arial" w:eastAsia="Arial" w:hAnsi="Arial"/>
          <w:color w:val="3A4A5A"/>
          <w:sz w:val="22"/>
          <w:szCs w:val="22"/>
        </w:rPr>
        <w:t xml:space="preserve">Confidentiality: All grievances handled confidentially, with information shared only on a need-to-know basis.</w:t>
      </w:r>
    </w:p>
    <w:p>
      <w:pPr>
        <w:pStyle w:val="ListParagraph"/>
        <w:numPr>
          <w:ilvl w:val="0"/>
          <w:numId w:val="2"/>
        </w:numPr>
      </w:pPr>
      <w:r>
        <w:rPr>
          <w:rFonts w:ascii="Arial" w:cs="Arial" w:eastAsia="Arial" w:hAnsi="Arial"/>
          <w:color w:val="3A4A5A"/>
          <w:sz w:val="22"/>
          <w:szCs w:val="22"/>
        </w:rPr>
        <w:t xml:space="preserve">Impartiality: Grievances investigated by independent, impartial personnel without conflict of interest.</w:t>
      </w:r>
    </w:p>
    <w:p>
      <w:pPr>
        <w:pStyle w:val="ListParagraph"/>
        <w:numPr>
          <w:ilvl w:val="0"/>
          <w:numId w:val="2"/>
        </w:numPr>
      </w:pPr>
      <w:r>
        <w:rPr>
          <w:rFonts w:ascii="Arial" w:cs="Arial" w:eastAsia="Arial" w:hAnsi="Arial"/>
          <w:color w:val="3A4A5A"/>
          <w:sz w:val="22"/>
          <w:szCs w:val="22"/>
        </w:rPr>
        <w:t xml:space="preserve">Timeliness: Grievances addressed promptly within prescribed timeframes.</w:t>
      </w:r>
    </w:p>
    <w:p>
      <w:pPr>
        <w:pStyle w:val="ListParagraph"/>
        <w:numPr>
          <w:ilvl w:val="0"/>
          <w:numId w:val="2"/>
        </w:numPr>
      </w:pPr>
      <w:r>
        <w:rPr>
          <w:rFonts w:ascii="Arial" w:cs="Arial" w:eastAsia="Arial" w:hAnsi="Arial"/>
          <w:color w:val="3A4A5A"/>
          <w:sz w:val="22"/>
          <w:szCs w:val="22"/>
        </w:rPr>
        <w:t xml:space="preserve">Anti-victimisation: No employee shall face victimisation, retaliation, or adverse action for lodging a genuine grievance.</w:t>
      </w:r>
    </w:p>
    <w:p>
      <w:pPr>
        <w:pStyle w:val="ListParagraph"/>
        <w:numPr>
          <w:ilvl w:val="0"/>
          <w:numId w:val="2"/>
        </w:numPr>
      </w:pPr>
      <w:r>
        <w:rPr>
          <w:rFonts w:ascii="Arial" w:cs="Arial" w:eastAsia="Arial" w:hAnsi="Arial"/>
          <w:color w:val="3A4A5A"/>
          <w:sz w:val="22"/>
          <w:szCs w:val="22"/>
        </w:rPr>
        <w:t xml:space="preserve">Natural Justice: Employee afforded opportunity to state their case and respond to allegations.</w:t>
      </w:r>
    </w:p>
    <w:p>
      <w:pPr>
        <w:pStyle w:val="ListParagraph"/>
        <w:numPr>
          <w:ilvl w:val="0"/>
          <w:numId w:val="2"/>
        </w:numPr>
      </w:pPr>
      <w:r>
        <w:rPr>
          <w:rFonts w:ascii="Arial" w:cs="Arial" w:eastAsia="Arial" w:hAnsi="Arial"/>
          <w:color w:val="3A4A5A"/>
          <w:sz w:val="22"/>
          <w:szCs w:val="22"/>
        </w:rPr>
        <w:t xml:space="preserve">Documentation: All proceedings recorded and maintained on personnel files.</w:t>
      </w:r>
    </w:p>
    <w:p>
      <w:pPr>
        <w:pStyle w:val="ListParagraph"/>
        <w:numPr>
          <w:ilvl w:val="0"/>
          <w:numId w:val="2"/>
        </w:numPr>
      </w:pPr>
      <w:r>
        <w:rPr>
          <w:rFonts w:ascii="Arial" w:cs="Arial" w:eastAsia="Arial" w:hAnsi="Arial"/>
          <w:color w:val="3A4A5A"/>
          <w:sz w:val="22"/>
          <w:szCs w:val="22"/>
        </w:rPr>
        <w:t xml:space="preserve">Remedy: Where upheld, grievances result in fair remedial action.</w:t>
      </w:r>
    </w:p>
    <w:p>
      <w:pPr>
        <w:pStyle w:val="Heading2"/>
      </w:pPr>
      <w:r>
        <w:t xml:space="preserve">4. Definition of Grievance</w:t>
      </w:r>
    </w:p>
    <w:p>
      <w:pPr>
        <w:spacing w:after="60" w:before="60"/>
      </w:pPr>
      <w:r>
        <w:rPr>
          <w:rFonts w:ascii="Arial" w:cs="Arial" w:eastAsia="Arial" w:hAnsi="Arial"/>
          <w:b w:val="false"/>
          <w:bCs w:val="false"/>
          <w:color w:val="3A4A5A"/>
          <w:sz w:val="22"/>
          <w:szCs w:val="22"/>
        </w:rPr>
        <w:t xml:space="preserve">A grievance is any formal complaint, concern, or dissatisfaction raised by an employee regarding:</w:t>
      </w:r>
    </w:p>
    <w:p>
      <w:pPr>
        <w:pStyle w:val="ListParagraph"/>
        <w:numPr>
          <w:ilvl w:val="0"/>
          <w:numId w:val="2"/>
        </w:numPr>
      </w:pPr>
      <w:r>
        <w:rPr>
          <w:rFonts w:ascii="Arial" w:cs="Arial" w:eastAsia="Arial" w:hAnsi="Arial"/>
          <w:color w:val="3A4A5A"/>
          <w:sz w:val="22"/>
          <w:szCs w:val="22"/>
        </w:rPr>
        <w:t xml:space="preserve">Working conditions or environment.</w:t>
      </w:r>
    </w:p>
    <w:p>
      <w:pPr>
        <w:pStyle w:val="ListParagraph"/>
        <w:numPr>
          <w:ilvl w:val="0"/>
          <w:numId w:val="2"/>
        </w:numPr>
      </w:pPr>
      <w:r>
        <w:rPr>
          <w:rFonts w:ascii="Arial" w:cs="Arial" w:eastAsia="Arial" w:hAnsi="Arial"/>
          <w:color w:val="3A4A5A"/>
          <w:sz w:val="22"/>
          <w:szCs w:val="22"/>
        </w:rPr>
        <w:t xml:space="preserve">Treatment by management or colleagues.</w:t>
      </w:r>
    </w:p>
    <w:p>
      <w:pPr>
        <w:pStyle w:val="ListParagraph"/>
        <w:numPr>
          <w:ilvl w:val="0"/>
          <w:numId w:val="2"/>
        </w:numPr>
      </w:pPr>
      <w:r>
        <w:rPr>
          <w:rFonts w:ascii="Arial" w:cs="Arial" w:eastAsia="Arial" w:hAnsi="Arial"/>
          <w:color w:val="3A4A5A"/>
          <w:sz w:val="22"/>
          <w:szCs w:val="22"/>
        </w:rPr>
        <w:t xml:space="preserve">Alleged breach of contract or company policy.</w:t>
      </w:r>
    </w:p>
    <w:p>
      <w:pPr>
        <w:pStyle w:val="ListParagraph"/>
        <w:numPr>
          <w:ilvl w:val="0"/>
          <w:numId w:val="2"/>
        </w:numPr>
      </w:pPr>
      <w:r>
        <w:rPr>
          <w:rFonts w:ascii="Arial" w:cs="Arial" w:eastAsia="Arial" w:hAnsi="Arial"/>
          <w:color w:val="3A4A5A"/>
          <w:sz w:val="22"/>
          <w:szCs w:val="22"/>
        </w:rPr>
        <w:t xml:space="preserve">Alleged unfair or discriminatory action.</w:t>
      </w:r>
    </w:p>
    <w:p>
      <w:pPr>
        <w:pStyle w:val="ListParagraph"/>
        <w:numPr>
          <w:ilvl w:val="0"/>
          <w:numId w:val="2"/>
        </w:numPr>
      </w:pPr>
      <w:r>
        <w:rPr>
          <w:rFonts w:ascii="Arial" w:cs="Arial" w:eastAsia="Arial" w:hAnsi="Arial"/>
          <w:color w:val="3A4A5A"/>
          <w:sz w:val="22"/>
          <w:szCs w:val="22"/>
        </w:rPr>
        <w:t xml:space="preserve">Sexual harassment or gender-based violence.</w:t>
      </w:r>
    </w:p>
    <w:p>
      <w:pPr>
        <w:pStyle w:val="ListParagraph"/>
        <w:numPr>
          <w:ilvl w:val="0"/>
          <w:numId w:val="2"/>
        </w:numPr>
      </w:pPr>
      <w:r>
        <w:rPr>
          <w:rFonts w:ascii="Arial" w:cs="Arial" w:eastAsia="Arial" w:hAnsi="Arial"/>
          <w:color w:val="3A4A5A"/>
          <w:sz w:val="22"/>
          <w:szCs w:val="22"/>
        </w:rPr>
        <w:t xml:space="preserve">Health and safety concerns.</w:t>
      </w:r>
    </w:p>
    <w:p>
      <w:pPr>
        <w:pStyle w:val="ListParagraph"/>
        <w:numPr>
          <w:ilvl w:val="0"/>
          <w:numId w:val="2"/>
        </w:numPr>
      </w:pPr>
      <w:r>
        <w:rPr>
          <w:rFonts w:ascii="Arial" w:cs="Arial" w:eastAsia="Arial" w:hAnsi="Arial"/>
          <w:color w:val="3A4A5A"/>
          <w:sz w:val="22"/>
          <w:szCs w:val="22"/>
        </w:rPr>
        <w:t xml:space="preserve">Alleged victimisation or retaliation.</w:t>
      </w:r>
    </w:p>
    <w:p>
      <w:pPr>
        <w:pStyle w:val="ListParagraph"/>
        <w:numPr>
          <w:ilvl w:val="0"/>
          <w:numId w:val="2"/>
        </w:numPr>
      </w:pPr>
      <w:r>
        <w:rPr>
          <w:rFonts w:ascii="Arial" w:cs="Arial" w:eastAsia="Arial" w:hAnsi="Arial"/>
          <w:color w:val="3A4A5A"/>
          <w:sz w:val="22"/>
          <w:szCs w:val="22"/>
        </w:rPr>
        <w:t xml:space="preserve">Any other matter materially affecting the employment relationship.</w:t>
      </w:r>
    </w:p>
    <w:p>
      <w:pPr>
        <w:pStyle w:val="Heading2"/>
      </w:pPr>
      <w:r>
        <w:t xml:space="preserve">5. Scope</w:t>
      </w:r>
    </w:p>
    <w:p>
      <w:pPr>
        <w:spacing w:after="60" w:before="60"/>
      </w:pPr>
      <w:r>
        <w:rPr>
          <w:rFonts w:ascii="Arial" w:cs="Arial" w:eastAsia="Arial" w:hAnsi="Arial"/>
          <w:b w:val="false"/>
          <w:bCs w:val="false"/>
          <w:color w:val="3A4A5A"/>
          <w:sz w:val="22"/>
          <w:szCs w:val="22"/>
        </w:rPr>
        <w:t xml:space="preserve">This procedure applies to all employees of Jera Consulting. Grievances involving statutory matters (unfair dismissal, discrimination under EEA, etc.) may be referred directly to the CCMA if internal procedures fail.</w:t>
      </w:r>
    </w:p>
    <w:p>
      <w:pPr>
        <w:pStyle w:val="Heading2"/>
      </w:pPr>
      <w:r>
        <w:t xml:space="preserve">6. Grievance Procedure</w:t>
      </w:r>
    </w:p>
    <w:p>
      <w:pPr>
        <w:pStyle w:val="Heading3"/>
      </w:pPr>
      <w:r>
        <w:t xml:space="preserve">6.1 Stage 1: Immediate Manager</w:t>
      </w:r>
    </w:p>
    <w:p>
      <w:pPr>
        <w:spacing w:after="60" w:before="60"/>
      </w:pPr>
      <w:r>
        <w:rPr>
          <w:rFonts w:ascii="Arial" w:cs="Arial" w:eastAsia="Arial" w:hAnsi="Arial"/>
          <w:b w:val="false"/>
          <w:bCs w:val="false"/>
          <w:color w:val="3A4A5A"/>
          <w:sz w:val="22"/>
          <w:szCs w:val="22"/>
        </w:rPr>
        <w:t xml:space="preserve">Employee should first attempt to resolve the matter informally with their immediate manager.</w:t>
      </w:r>
    </w:p>
    <w:p>
      <w:pPr>
        <w:pStyle w:val="ListParagraph"/>
        <w:numPr>
          <w:ilvl w:val="0"/>
          <w:numId w:val="3"/>
        </w:numPr>
      </w:pPr>
      <w:r>
        <w:rPr>
          <w:rFonts w:ascii="Arial" w:cs="Arial" w:eastAsia="Arial" w:hAnsi="Arial"/>
          <w:color w:val="3A4A5A"/>
          <w:sz w:val="22"/>
          <w:szCs w:val="22"/>
        </w:rPr>
        <w:t xml:space="preserve">Employee raises concern verbally or in writing to immediate manager.</w:t>
      </w:r>
    </w:p>
    <w:p>
      <w:pPr>
        <w:pStyle w:val="ListParagraph"/>
        <w:numPr>
          <w:ilvl w:val="0"/>
          <w:numId w:val="3"/>
        </w:numPr>
      </w:pPr>
      <w:r>
        <w:rPr>
          <w:rFonts w:ascii="Arial" w:cs="Arial" w:eastAsia="Arial" w:hAnsi="Arial"/>
          <w:color w:val="3A4A5A"/>
          <w:sz w:val="22"/>
          <w:szCs w:val="22"/>
        </w:rPr>
        <w:t xml:space="preserve">Manager listens and seeks to understand the grievance.</w:t>
      </w:r>
    </w:p>
    <w:p>
      <w:pPr>
        <w:pStyle w:val="ListParagraph"/>
        <w:numPr>
          <w:ilvl w:val="0"/>
          <w:numId w:val="3"/>
        </w:numPr>
      </w:pPr>
      <w:r>
        <w:rPr>
          <w:rFonts w:ascii="Arial" w:cs="Arial" w:eastAsia="Arial" w:hAnsi="Arial"/>
          <w:color w:val="3A4A5A"/>
          <w:sz w:val="22"/>
          <w:szCs w:val="22"/>
        </w:rPr>
        <w:t xml:space="preserve">Manager to respond within 5 working days with proposed resolution.</w:t>
      </w:r>
    </w:p>
    <w:p>
      <w:pPr>
        <w:pStyle w:val="ListParagraph"/>
        <w:numPr>
          <w:ilvl w:val="0"/>
          <w:numId w:val="3"/>
        </w:numPr>
      </w:pPr>
      <w:r>
        <w:rPr>
          <w:rFonts w:ascii="Arial" w:cs="Arial" w:eastAsia="Arial" w:hAnsi="Arial"/>
          <w:color w:val="3A4A5A"/>
          <w:sz w:val="22"/>
          <w:szCs w:val="22"/>
        </w:rPr>
        <w:t xml:space="preserve">If resolved informally, matter is documented and filed.</w:t>
      </w:r>
    </w:p>
    <w:p>
      <w:pPr>
        <w:pStyle w:val="ListParagraph"/>
        <w:numPr>
          <w:ilvl w:val="0"/>
          <w:numId w:val="3"/>
        </w:numPr>
      </w:pPr>
      <w:r>
        <w:rPr>
          <w:rFonts w:ascii="Arial" w:cs="Arial" w:eastAsia="Arial" w:hAnsi="Arial"/>
          <w:color w:val="3A4A5A"/>
          <w:sz w:val="22"/>
          <w:szCs w:val="22"/>
        </w:rPr>
        <w:t xml:space="preserve">If not resolved, employee may escalate to Stage 2.</w:t>
      </w:r>
    </w:p>
    <w:p>
      <w:pPr>
        <w:pStyle w:val="Heading3"/>
      </w:pPr>
      <w:r>
        <w:t xml:space="preserve">6.2 Stage 2: Formal Grievance Lodgement</w:t>
      </w:r>
    </w:p>
    <w:p>
      <w:pPr>
        <w:spacing w:after="60" w:before="60"/>
      </w:pPr>
      <w:r>
        <w:rPr>
          <w:rFonts w:ascii="Arial" w:cs="Arial" w:eastAsia="Arial" w:hAnsi="Arial"/>
          <w:b w:val="false"/>
          <w:bCs w:val="false"/>
          <w:color w:val="3A4A5A"/>
          <w:sz w:val="22"/>
          <w:szCs w:val="22"/>
        </w:rPr>
        <w:t xml:space="preserve">If informal resolution fails, employee may lodge formal grievance using Grievance Form.</w:t>
      </w:r>
    </w:p>
    <w:p>
      <w:pPr>
        <w:pStyle w:val="ListParagraph"/>
        <w:numPr>
          <w:ilvl w:val="0"/>
          <w:numId w:val="3"/>
        </w:numPr>
      </w:pPr>
      <w:r>
        <w:rPr>
          <w:rFonts w:ascii="Arial" w:cs="Arial" w:eastAsia="Arial" w:hAnsi="Arial"/>
          <w:color w:val="3A4A5A"/>
          <w:sz w:val="22"/>
          <w:szCs w:val="22"/>
        </w:rPr>
        <w:t xml:space="preserve">Complete Form A (Grievance Lodgement Form) detailing:</w:t>
      </w:r>
    </w:p>
    <w:p>
      <w:pPr>
        <w:pStyle w:val="ListParagraph"/>
        <w:numPr>
          <w:ilvl w:val="0"/>
          <w:numId w:val="2"/>
        </w:numPr>
      </w:pPr>
      <w:r>
        <w:rPr>
          <w:rFonts w:ascii="Arial" w:cs="Arial" w:eastAsia="Arial" w:hAnsi="Arial"/>
          <w:color w:val="3A4A5A"/>
          <w:sz w:val="22"/>
          <w:szCs w:val="22"/>
        </w:rPr>
        <w:t xml:space="preserve">Nature of grievance and relevant dates.</w:t>
      </w:r>
    </w:p>
    <w:p>
      <w:pPr>
        <w:pStyle w:val="ListParagraph"/>
        <w:numPr>
          <w:ilvl w:val="0"/>
          <w:numId w:val="2"/>
        </w:numPr>
      </w:pPr>
      <w:r>
        <w:rPr>
          <w:rFonts w:ascii="Arial" w:cs="Arial" w:eastAsia="Arial" w:hAnsi="Arial"/>
          <w:color w:val="3A4A5A"/>
          <w:sz w:val="22"/>
          <w:szCs w:val="22"/>
        </w:rPr>
        <w:t xml:space="preserve">People involved and witnesses.</w:t>
      </w:r>
    </w:p>
    <w:p>
      <w:pPr>
        <w:pStyle w:val="ListParagraph"/>
        <w:numPr>
          <w:ilvl w:val="0"/>
          <w:numId w:val="2"/>
        </w:numPr>
      </w:pPr>
      <w:r>
        <w:rPr>
          <w:rFonts w:ascii="Arial" w:cs="Arial" w:eastAsia="Arial" w:hAnsi="Arial"/>
          <w:color w:val="3A4A5A"/>
          <w:sz w:val="22"/>
          <w:szCs w:val="22"/>
        </w:rPr>
        <w:t xml:space="preserve">Outcomes sought.</w:t>
      </w:r>
    </w:p>
    <w:p>
      <w:pPr>
        <w:pStyle w:val="ListParagraph"/>
        <w:numPr>
          <w:ilvl w:val="0"/>
          <w:numId w:val="2"/>
        </w:numPr>
      </w:pPr>
      <w:r>
        <w:rPr>
          <w:rFonts w:ascii="Arial" w:cs="Arial" w:eastAsia="Arial" w:hAnsi="Arial"/>
          <w:color w:val="3A4A5A"/>
          <w:sz w:val="22"/>
          <w:szCs w:val="22"/>
        </w:rPr>
        <w:t xml:space="preserve">Evidence or supporting documentation.</w:t>
      </w:r>
    </w:p>
    <w:p>
      <w:pPr>
        <w:pStyle w:val="ListParagraph"/>
        <w:numPr>
          <w:ilvl w:val="0"/>
          <w:numId w:val="3"/>
        </w:numPr>
      </w:pPr>
      <w:r>
        <w:rPr>
          <w:rFonts w:ascii="Arial" w:cs="Arial" w:eastAsia="Arial" w:hAnsi="Arial"/>
          <w:color w:val="3A4A5A"/>
          <w:sz w:val="22"/>
          <w:szCs w:val="22"/>
        </w:rPr>
        <w:t xml:space="preserve">Submit form to HR Manager or designated grievance officer.</w:t>
      </w:r>
    </w:p>
    <w:p>
      <w:pPr>
        <w:pStyle w:val="ListParagraph"/>
        <w:numPr>
          <w:ilvl w:val="0"/>
          <w:numId w:val="3"/>
        </w:numPr>
      </w:pPr>
      <w:r>
        <w:rPr>
          <w:rFonts w:ascii="Arial" w:cs="Arial" w:eastAsia="Arial" w:hAnsi="Arial"/>
          <w:color w:val="3A4A5A"/>
          <w:sz w:val="22"/>
          <w:szCs w:val="22"/>
        </w:rPr>
        <w:t xml:space="preserve">Submission confirms grievance is received (acknowledge within 2 working days).</w:t>
      </w:r>
    </w:p>
    <w:p>
      <w:pPr>
        <w:pStyle w:val="ListParagraph"/>
        <w:numPr>
          <w:ilvl w:val="0"/>
          <w:numId w:val="3"/>
        </w:numPr>
      </w:pPr>
      <w:r>
        <w:rPr>
          <w:rFonts w:ascii="Arial" w:cs="Arial" w:eastAsia="Arial" w:hAnsi="Arial"/>
          <w:color w:val="3A4A5A"/>
          <w:sz w:val="22"/>
          <w:szCs w:val="22"/>
        </w:rPr>
        <w:t xml:space="preserve">HR Manager convenes formal hearing within 10 working days.</w:t>
      </w:r>
    </w:p>
    <w:p>
      <w:pPr>
        <w:pStyle w:val="Heading3"/>
      </w:pPr>
      <w:r>
        <w:t xml:space="preserve">6.3 Stage 2 Hearing</w:t>
      </w:r>
    </w:p>
    <w:p>
      <w:pPr>
        <w:pStyle w:val="ListParagraph"/>
        <w:numPr>
          <w:ilvl w:val="0"/>
          <w:numId w:val="3"/>
        </w:numPr>
      </w:pPr>
      <w:r>
        <w:rPr>
          <w:rFonts w:ascii="Arial" w:cs="Arial" w:eastAsia="Arial" w:hAnsi="Arial"/>
          <w:color w:val="3A4A5A"/>
          <w:sz w:val="22"/>
          <w:szCs w:val="22"/>
        </w:rPr>
        <w:t xml:space="preserve">Employee and representation (union rep or co-employee) attend hearing.</w:t>
      </w:r>
    </w:p>
    <w:p>
      <w:pPr>
        <w:pStyle w:val="ListParagraph"/>
        <w:numPr>
          <w:ilvl w:val="0"/>
          <w:numId w:val="3"/>
        </w:numPr>
      </w:pPr>
      <w:r>
        <w:rPr>
          <w:rFonts w:ascii="Arial" w:cs="Arial" w:eastAsia="Arial" w:hAnsi="Arial"/>
          <w:color w:val="3A4A5A"/>
          <w:sz w:val="22"/>
          <w:szCs w:val="22"/>
        </w:rPr>
        <w:t xml:space="preserve">HR Manager or independent investigator chairs the hearing.</w:t>
      </w:r>
    </w:p>
    <w:p>
      <w:pPr>
        <w:pStyle w:val="ListParagraph"/>
        <w:numPr>
          <w:ilvl w:val="0"/>
          <w:numId w:val="3"/>
        </w:numPr>
      </w:pPr>
      <w:r>
        <w:rPr>
          <w:rFonts w:ascii="Arial" w:cs="Arial" w:eastAsia="Arial" w:hAnsi="Arial"/>
          <w:color w:val="3A4A5A"/>
          <w:sz w:val="22"/>
          <w:szCs w:val="22"/>
        </w:rPr>
        <w:t xml:space="preserve">Employee presents grievance and evidence.</w:t>
      </w:r>
    </w:p>
    <w:p>
      <w:pPr>
        <w:pStyle w:val="ListParagraph"/>
        <w:numPr>
          <w:ilvl w:val="0"/>
          <w:numId w:val="3"/>
        </w:numPr>
      </w:pPr>
      <w:r>
        <w:rPr>
          <w:rFonts w:ascii="Arial" w:cs="Arial" w:eastAsia="Arial" w:hAnsi="Arial"/>
          <w:color w:val="3A4A5A"/>
          <w:sz w:val="22"/>
          <w:szCs w:val="22"/>
        </w:rPr>
        <w:t xml:space="preserve">Respondent (if applicable) presents their account.</w:t>
      </w:r>
    </w:p>
    <w:p>
      <w:pPr>
        <w:pStyle w:val="ListParagraph"/>
        <w:numPr>
          <w:ilvl w:val="0"/>
          <w:numId w:val="3"/>
        </w:numPr>
      </w:pPr>
      <w:r>
        <w:rPr>
          <w:rFonts w:ascii="Arial" w:cs="Arial" w:eastAsia="Arial" w:hAnsi="Arial"/>
          <w:color w:val="3A4A5A"/>
          <w:sz w:val="22"/>
          <w:szCs w:val="22"/>
        </w:rPr>
        <w:t xml:space="preserve">Witnesses examined.</w:t>
      </w:r>
    </w:p>
    <w:p>
      <w:pPr>
        <w:pStyle w:val="ListParagraph"/>
        <w:numPr>
          <w:ilvl w:val="0"/>
          <w:numId w:val="3"/>
        </w:numPr>
      </w:pPr>
      <w:r>
        <w:rPr>
          <w:rFonts w:ascii="Arial" w:cs="Arial" w:eastAsia="Arial" w:hAnsi="Arial"/>
          <w:color w:val="3A4A5A"/>
          <w:sz w:val="22"/>
          <w:szCs w:val="22"/>
        </w:rPr>
        <w:t xml:space="preserve">Virtual hearings permitted if agreed or necessary.</w:t>
      </w:r>
    </w:p>
    <w:p>
      <w:pPr>
        <w:pStyle w:val="ListParagraph"/>
        <w:numPr>
          <w:ilvl w:val="0"/>
          <w:numId w:val="3"/>
        </w:numPr>
      </w:pPr>
      <w:r>
        <w:rPr>
          <w:rFonts w:ascii="Arial" w:cs="Arial" w:eastAsia="Arial" w:hAnsi="Arial"/>
          <w:color w:val="3A4A5A"/>
          <w:sz w:val="22"/>
          <w:szCs w:val="22"/>
        </w:rPr>
        <w:t xml:space="preserve">Hearing documented (minutes recorded).</w:t>
      </w:r>
    </w:p>
    <w:p>
      <w:pPr>
        <w:pStyle w:val="Heading3"/>
      </w:pPr>
      <w:r>
        <w:t xml:space="preserve">6.4 Stage 2 Decision</w:t>
      </w:r>
    </w:p>
    <w:p>
      <w:pPr>
        <w:pStyle w:val="ListParagraph"/>
        <w:numPr>
          <w:ilvl w:val="0"/>
          <w:numId w:val="3"/>
        </w:numPr>
      </w:pPr>
      <w:r>
        <w:rPr>
          <w:rFonts w:ascii="Arial" w:cs="Arial" w:eastAsia="Arial" w:hAnsi="Arial"/>
          <w:color w:val="3A4A5A"/>
          <w:sz w:val="22"/>
          <w:szCs w:val="22"/>
        </w:rPr>
        <w:t xml:space="preserve">Investigator/HR Manager reviews evidence.</w:t>
      </w:r>
    </w:p>
    <w:p>
      <w:pPr>
        <w:pStyle w:val="ListParagraph"/>
        <w:numPr>
          <w:ilvl w:val="0"/>
          <w:numId w:val="3"/>
        </w:numPr>
      </w:pPr>
      <w:r>
        <w:rPr>
          <w:rFonts w:ascii="Arial" w:cs="Arial" w:eastAsia="Arial" w:hAnsi="Arial"/>
          <w:color w:val="3A4A5A"/>
          <w:sz w:val="22"/>
          <w:szCs w:val="22"/>
        </w:rPr>
        <w:t xml:space="preserve">Decision issued in writing within 5 working days of hearing.</w:t>
      </w:r>
    </w:p>
    <w:p>
      <w:pPr>
        <w:pStyle w:val="ListParagraph"/>
        <w:numPr>
          <w:ilvl w:val="0"/>
          <w:numId w:val="3"/>
        </w:numPr>
      </w:pPr>
      <w:r>
        <w:rPr>
          <w:rFonts w:ascii="Arial" w:cs="Arial" w:eastAsia="Arial" w:hAnsi="Arial"/>
          <w:color w:val="3A4A5A"/>
          <w:sz w:val="22"/>
          <w:szCs w:val="22"/>
        </w:rPr>
        <w:t xml:space="preserve">Decision states:</w:t>
      </w:r>
    </w:p>
    <w:p>
      <w:pPr>
        <w:pStyle w:val="ListParagraph"/>
        <w:numPr>
          <w:ilvl w:val="0"/>
          <w:numId w:val="2"/>
        </w:numPr>
      </w:pPr>
      <w:r>
        <w:rPr>
          <w:rFonts w:ascii="Arial" w:cs="Arial" w:eastAsia="Arial" w:hAnsi="Arial"/>
          <w:color w:val="3A4A5A"/>
          <w:sz w:val="22"/>
          <w:szCs w:val="22"/>
        </w:rPr>
        <w:t xml:space="preserve">Whether grievance is upheld, partially upheld, or dismissed.</w:t>
      </w:r>
    </w:p>
    <w:p>
      <w:pPr>
        <w:pStyle w:val="ListParagraph"/>
        <w:numPr>
          <w:ilvl w:val="0"/>
          <w:numId w:val="2"/>
        </w:numPr>
      </w:pPr>
      <w:r>
        <w:rPr>
          <w:rFonts w:ascii="Arial" w:cs="Arial" w:eastAsia="Arial" w:hAnsi="Arial"/>
          <w:color w:val="3A4A5A"/>
          <w:sz w:val="22"/>
          <w:szCs w:val="22"/>
        </w:rPr>
        <w:t xml:space="preserve">Reasons for decision.</w:t>
      </w:r>
    </w:p>
    <w:p>
      <w:pPr>
        <w:pStyle w:val="ListParagraph"/>
        <w:numPr>
          <w:ilvl w:val="0"/>
          <w:numId w:val="2"/>
        </w:numPr>
      </w:pPr>
      <w:r>
        <w:rPr>
          <w:rFonts w:ascii="Arial" w:cs="Arial" w:eastAsia="Arial" w:hAnsi="Arial"/>
          <w:color w:val="3A4A5A"/>
          <w:sz w:val="22"/>
          <w:szCs w:val="22"/>
        </w:rPr>
        <w:t xml:space="preserve">Remedial action (if upheld).</w:t>
      </w:r>
    </w:p>
    <w:p>
      <w:pPr>
        <w:pStyle w:val="ListParagraph"/>
        <w:numPr>
          <w:ilvl w:val="0"/>
          <w:numId w:val="2"/>
        </w:numPr>
      </w:pPr>
      <w:r>
        <w:rPr>
          <w:rFonts w:ascii="Arial" w:cs="Arial" w:eastAsia="Arial" w:hAnsi="Arial"/>
          <w:color w:val="3A4A5A"/>
          <w:sz w:val="22"/>
          <w:szCs w:val="22"/>
        </w:rPr>
        <w:t xml:space="preserve">Right of appeal.</w:t>
      </w:r>
    </w:p>
    <w:p>
      <w:pPr>
        <w:pStyle w:val="ListParagraph"/>
        <w:numPr>
          <w:ilvl w:val="0"/>
          <w:numId w:val="3"/>
        </w:numPr>
      </w:pPr>
      <w:r>
        <w:rPr>
          <w:rFonts w:ascii="Arial" w:cs="Arial" w:eastAsia="Arial" w:hAnsi="Arial"/>
          <w:color w:val="3A4A5A"/>
          <w:sz w:val="22"/>
          <w:szCs w:val="22"/>
        </w:rPr>
        <w:t xml:space="preserve">Decision communicated to employee, respondent, and representatives.</w:t>
      </w:r>
    </w:p>
    <w:p>
      <w:pPr>
        <w:pStyle w:val="Heading3"/>
      </w:pPr>
      <w:r>
        <w:t xml:space="preserve">6.5 Stage 3: Appeal</w:t>
      </w:r>
    </w:p>
    <w:p>
      <w:pPr>
        <w:spacing w:after="60" w:before="60"/>
      </w:pPr>
      <w:r>
        <w:rPr>
          <w:rFonts w:ascii="Arial" w:cs="Arial" w:eastAsia="Arial" w:hAnsi="Arial"/>
          <w:b w:val="false"/>
          <w:bCs w:val="false"/>
          <w:color w:val="3A4A5A"/>
          <w:sz w:val="22"/>
          <w:szCs w:val="22"/>
        </w:rPr>
        <w:t xml:space="preserve">Employee may appeal decision within 5 working days of receiving written decision.</w:t>
      </w:r>
    </w:p>
    <w:p>
      <w:pPr>
        <w:pStyle w:val="ListParagraph"/>
        <w:numPr>
          <w:ilvl w:val="0"/>
          <w:numId w:val="3"/>
        </w:numPr>
      </w:pPr>
      <w:r>
        <w:rPr>
          <w:rFonts w:ascii="Arial" w:cs="Arial" w:eastAsia="Arial" w:hAnsi="Arial"/>
          <w:color w:val="3A4A5A"/>
          <w:sz w:val="22"/>
          <w:szCs w:val="22"/>
        </w:rPr>
        <w:t xml:space="preserve">Appeal submitted to Managing Director or designated senior manager.</w:t>
      </w:r>
    </w:p>
    <w:p>
      <w:pPr>
        <w:pStyle w:val="ListParagraph"/>
        <w:numPr>
          <w:ilvl w:val="0"/>
          <w:numId w:val="3"/>
        </w:numPr>
      </w:pPr>
      <w:r>
        <w:rPr>
          <w:rFonts w:ascii="Arial" w:cs="Arial" w:eastAsia="Arial" w:hAnsi="Arial"/>
          <w:color w:val="3A4A5A"/>
          <w:sz w:val="22"/>
          <w:szCs w:val="22"/>
        </w:rPr>
        <w:t xml:space="preserve">Appeal hearing held within 10 working days.</w:t>
      </w:r>
    </w:p>
    <w:p>
      <w:pPr>
        <w:pStyle w:val="ListParagraph"/>
        <w:numPr>
          <w:ilvl w:val="0"/>
          <w:numId w:val="3"/>
        </w:numPr>
      </w:pPr>
      <w:r>
        <w:rPr>
          <w:rFonts w:ascii="Arial" w:cs="Arial" w:eastAsia="Arial" w:hAnsi="Arial"/>
          <w:color w:val="3A4A5A"/>
          <w:sz w:val="22"/>
          <w:szCs w:val="22"/>
        </w:rPr>
        <w:t xml:space="preserve">Appeal panel must not have been involved in original decision.</w:t>
      </w:r>
    </w:p>
    <w:p>
      <w:pPr>
        <w:pStyle w:val="ListParagraph"/>
        <w:numPr>
          <w:ilvl w:val="0"/>
          <w:numId w:val="3"/>
        </w:numPr>
      </w:pPr>
      <w:r>
        <w:rPr>
          <w:rFonts w:ascii="Arial" w:cs="Arial" w:eastAsia="Arial" w:hAnsi="Arial"/>
          <w:color w:val="3A4A5A"/>
          <w:sz w:val="22"/>
          <w:szCs w:val="22"/>
        </w:rPr>
        <w:t xml:space="preserve">Appeal decision is final and issued in writing within 5 working days.</w:t>
      </w:r>
    </w:p>
    <w:p>
      <w:pPr>
        <w:pStyle w:val="Heading2"/>
      </w:pPr>
      <w:r>
        <w:t xml:space="preserve">7. Special Grievance Channels</w:t>
      </w:r>
    </w:p>
    <w:p>
      <w:pPr>
        <w:pStyle w:val="Heading3"/>
      </w:pPr>
      <w:r>
        <w:t xml:space="preserve">7.1 Sexual Harassment and Gender-Based Violence</w:t>
      </w:r>
    </w:p>
    <w:p>
      <w:pPr>
        <w:spacing w:after="60" w:before="60"/>
      </w:pPr>
      <w:r>
        <w:rPr>
          <w:rFonts w:ascii="Arial" w:cs="Arial" w:eastAsia="Arial" w:hAnsi="Arial"/>
          <w:b w:val="false"/>
          <w:bCs w:val="false"/>
          <w:color w:val="3A4A5A"/>
          <w:sz w:val="22"/>
          <w:szCs w:val="22"/>
        </w:rPr>
        <w:t xml:space="preserve">In terms of the Code of Good Practice on Sexual Harassment, a dedicated channel exists for sexual harassment and GBV grievances.</w:t>
      </w:r>
    </w:p>
    <w:p>
      <w:pPr>
        <w:pStyle w:val="ListParagraph"/>
        <w:numPr>
          <w:ilvl w:val="0"/>
          <w:numId w:val="2"/>
        </w:numPr>
      </w:pPr>
      <w:r>
        <w:rPr>
          <w:rFonts w:ascii="Arial" w:cs="Arial" w:eastAsia="Arial" w:hAnsi="Arial"/>
          <w:color w:val="3A4A5A"/>
          <w:sz w:val="22"/>
          <w:szCs w:val="22"/>
        </w:rPr>
        <w:t xml:space="preserve">Grievances may be reported to HR Manager, senior management, or external designated officer.</w:t>
      </w:r>
    </w:p>
    <w:p>
      <w:pPr>
        <w:pStyle w:val="ListParagraph"/>
        <w:numPr>
          <w:ilvl w:val="0"/>
          <w:numId w:val="2"/>
        </w:numPr>
      </w:pPr>
      <w:r>
        <w:rPr>
          <w:rFonts w:ascii="Arial" w:cs="Arial" w:eastAsia="Arial" w:hAnsi="Arial"/>
          <w:color w:val="3A4A5A"/>
          <w:sz w:val="22"/>
          <w:szCs w:val="22"/>
        </w:rPr>
        <w:t xml:space="preserve">Reports treated with heightened confidentiality and sensitivity.</w:t>
      </w:r>
    </w:p>
    <w:p>
      <w:pPr>
        <w:pStyle w:val="ListParagraph"/>
        <w:numPr>
          <w:ilvl w:val="0"/>
          <w:numId w:val="2"/>
        </w:numPr>
      </w:pPr>
      <w:r>
        <w:rPr>
          <w:rFonts w:ascii="Arial" w:cs="Arial" w:eastAsia="Arial" w:hAnsi="Arial"/>
          <w:color w:val="3A4A5A"/>
          <w:sz w:val="22"/>
          <w:szCs w:val="22"/>
        </w:rPr>
        <w:t xml:space="preserve">Investigation conducted immediately with trained investigator.</w:t>
      </w:r>
    </w:p>
    <w:p>
      <w:pPr>
        <w:pStyle w:val="ListParagraph"/>
        <w:numPr>
          <w:ilvl w:val="0"/>
          <w:numId w:val="2"/>
        </w:numPr>
      </w:pPr>
      <w:r>
        <w:rPr>
          <w:rFonts w:ascii="Arial" w:cs="Arial" w:eastAsia="Arial" w:hAnsi="Arial"/>
          <w:color w:val="3A4A5A"/>
          <w:sz w:val="22"/>
          <w:szCs w:val="22"/>
        </w:rPr>
        <w:t xml:space="preserve">Interim protective measures implemented (reassignment, leave, etc.) if necessary.</w:t>
      </w:r>
    </w:p>
    <w:p>
      <w:pPr>
        <w:pStyle w:val="ListParagraph"/>
        <w:numPr>
          <w:ilvl w:val="0"/>
          <w:numId w:val="2"/>
        </w:numPr>
      </w:pPr>
      <w:r>
        <w:rPr>
          <w:rFonts w:ascii="Arial" w:cs="Arial" w:eastAsia="Arial" w:hAnsi="Arial"/>
          <w:color w:val="3A4A5A"/>
          <w:sz w:val="22"/>
          <w:szCs w:val="22"/>
        </w:rPr>
        <w:t xml:space="preserve">No victimisation of complainant or witnesses.</w:t>
      </w:r>
    </w:p>
    <w:p>
      <w:pPr>
        <w:pStyle w:val="ListParagraph"/>
        <w:numPr>
          <w:ilvl w:val="0"/>
          <w:numId w:val="2"/>
        </w:numPr>
      </w:pPr>
      <w:r>
        <w:rPr>
          <w:rFonts w:ascii="Arial" w:cs="Arial" w:eastAsia="Arial" w:hAnsi="Arial"/>
          <w:color w:val="3A4A5A"/>
          <w:sz w:val="22"/>
          <w:szCs w:val="22"/>
        </w:rPr>
        <w:t xml:space="preserve">Outcomes communicated within statutory timeframes.</w:t>
      </w:r>
    </w:p>
    <w:p>
      <w:pPr>
        <w:pStyle w:val="Heading3"/>
      </w:pPr>
      <w:r>
        <w:t xml:space="preserve">7.2 Anonymous Grievance Reporting</w:t>
      </w:r>
    </w:p>
    <w:p>
      <w:pPr>
        <w:spacing w:after="60" w:before="60"/>
      </w:pPr>
      <w:r>
        <w:rPr>
          <w:rFonts w:ascii="Arial" w:cs="Arial" w:eastAsia="Arial" w:hAnsi="Arial"/>
          <w:b w:val="false"/>
          <w:bCs w:val="false"/>
          <w:color w:val="3A4A5A"/>
          <w:sz w:val="22"/>
          <w:szCs w:val="22"/>
        </w:rPr>
        <w:t xml:space="preserve">Employees may lodge anonymous grievances via:</w:t>
      </w:r>
    </w:p>
    <w:p>
      <w:pPr>
        <w:pStyle w:val="ListParagraph"/>
        <w:numPr>
          <w:ilvl w:val="0"/>
          <w:numId w:val="2"/>
        </w:numPr>
      </w:pPr>
      <w:r>
        <w:rPr>
          <w:rFonts w:ascii="Arial" w:cs="Arial" w:eastAsia="Arial" w:hAnsi="Arial"/>
          <w:color w:val="3A4A5A"/>
          <w:sz w:val="22"/>
          <w:szCs w:val="22"/>
        </w:rPr>
        <w:t xml:space="preserve">Anonymous grievance box (physical or digital).</w:t>
      </w:r>
    </w:p>
    <w:p>
      <w:pPr>
        <w:pStyle w:val="ListParagraph"/>
        <w:numPr>
          <w:ilvl w:val="0"/>
          <w:numId w:val="2"/>
        </w:numPr>
      </w:pPr>
      <w:r>
        <w:rPr>
          <w:rFonts w:ascii="Arial" w:cs="Arial" w:eastAsia="Arial" w:hAnsi="Arial"/>
          <w:color w:val="3A4A5A"/>
          <w:sz w:val="22"/>
          <w:szCs w:val="22"/>
        </w:rPr>
        <w:t xml:space="preserve">Third-party hotline (if implemented).</w:t>
      </w:r>
    </w:p>
    <w:p>
      <w:pPr>
        <w:pStyle w:val="ListParagraph"/>
        <w:numPr>
          <w:ilvl w:val="0"/>
          <w:numId w:val="2"/>
        </w:numPr>
      </w:pPr>
      <w:r>
        <w:rPr>
          <w:rFonts w:ascii="Arial" w:cs="Arial" w:eastAsia="Arial" w:hAnsi="Arial"/>
          <w:color w:val="3A4A5A"/>
          <w:sz w:val="22"/>
          <w:szCs w:val="22"/>
        </w:rPr>
        <w:t xml:space="preserve">Anonymous submission to HR Manager marked 'Confidential'.</w:t>
      </w:r>
    </w:p>
    <w:p>
      <w:pPr>
        <w:spacing w:after="60" w:before="60"/>
      </w:pPr>
      <w:r>
        <w:rPr>
          <w:rFonts w:ascii="Arial" w:cs="Arial" w:eastAsia="Arial" w:hAnsi="Arial"/>
          <w:b w:val="false"/>
          <w:bCs w:val="false"/>
          <w:color w:val="3A4A5A"/>
          <w:sz w:val="22"/>
          <w:szCs w:val="22"/>
        </w:rPr>
        <w:t xml:space="preserve">Anonymous grievances will be investigated to the extent possible, though limited details may impact investigation depth.</w:t>
      </w:r>
    </w:p>
    <w:p>
      <w:pPr>
        <w:pStyle w:val="Heading2"/>
      </w:pPr>
      <w:r>
        <w:t xml:space="preserve">8. Whistleblower Protection</w:t>
      </w:r>
    </w:p>
    <w:p>
      <w:pPr>
        <w:spacing w:after="60" w:before="60"/>
      </w:pPr>
      <w:r>
        <w:rPr>
          <w:rFonts w:ascii="Arial" w:cs="Arial" w:eastAsia="Arial" w:hAnsi="Arial"/>
          <w:b w:val="false"/>
          <w:bCs w:val="false"/>
          <w:color w:val="3A4A5A"/>
          <w:sz w:val="22"/>
          <w:szCs w:val="22"/>
        </w:rPr>
        <w:t xml:space="preserve">Employees who report alleged misconduct or breaches in good faith are protected from victimisation under the Protected Disclosures Act, 26 of 2000 (as amended).</w:t>
      </w:r>
    </w:p>
    <w:p>
      <w:pPr>
        <w:pStyle w:val="ListParagraph"/>
        <w:numPr>
          <w:ilvl w:val="0"/>
          <w:numId w:val="2"/>
        </w:numPr>
      </w:pPr>
      <w:r>
        <w:rPr>
          <w:rFonts w:ascii="Arial" w:cs="Arial" w:eastAsia="Arial" w:hAnsi="Arial"/>
          <w:color w:val="3A4A5A"/>
          <w:sz w:val="22"/>
          <w:szCs w:val="22"/>
        </w:rPr>
        <w:t xml:space="preserve">Protected disclosures include reports of:</w:t>
      </w:r>
    </w:p>
    <w:p>
      <w:pPr>
        <w:pStyle w:val="ListParagraph"/>
        <w:numPr>
          <w:ilvl w:val="0"/>
          <w:numId w:val="2"/>
        </w:numPr>
      </w:pPr>
      <w:r>
        <w:rPr>
          <w:rFonts w:ascii="Arial" w:cs="Arial" w:eastAsia="Arial" w:hAnsi="Arial"/>
          <w:color w:val="3A4A5A"/>
          <w:sz w:val="22"/>
          <w:szCs w:val="22"/>
        </w:rPr>
        <w:t xml:space="preserve">Regulatory violations.</w:t>
      </w:r>
    </w:p>
    <w:p>
      <w:pPr>
        <w:pStyle w:val="ListParagraph"/>
        <w:numPr>
          <w:ilvl w:val="0"/>
          <w:numId w:val="2"/>
        </w:numPr>
      </w:pPr>
      <w:r>
        <w:rPr>
          <w:rFonts w:ascii="Arial" w:cs="Arial" w:eastAsia="Arial" w:hAnsi="Arial"/>
          <w:color w:val="3A4A5A"/>
          <w:sz w:val="22"/>
          <w:szCs w:val="22"/>
        </w:rPr>
        <w:t xml:space="preserve">Fraud or corruption.</w:t>
      </w:r>
    </w:p>
    <w:p>
      <w:pPr>
        <w:pStyle w:val="ListParagraph"/>
        <w:numPr>
          <w:ilvl w:val="0"/>
          <w:numId w:val="2"/>
        </w:numPr>
      </w:pPr>
      <w:r>
        <w:rPr>
          <w:rFonts w:ascii="Arial" w:cs="Arial" w:eastAsia="Arial" w:hAnsi="Arial"/>
          <w:color w:val="3A4A5A"/>
          <w:sz w:val="22"/>
          <w:szCs w:val="22"/>
        </w:rPr>
        <w:t xml:space="preserve">Health and safety breaches.</w:t>
      </w:r>
    </w:p>
    <w:p>
      <w:pPr>
        <w:pStyle w:val="ListParagraph"/>
        <w:numPr>
          <w:ilvl w:val="0"/>
          <w:numId w:val="2"/>
        </w:numPr>
      </w:pPr>
      <w:r>
        <w:rPr>
          <w:rFonts w:ascii="Arial" w:cs="Arial" w:eastAsia="Arial" w:hAnsi="Arial"/>
          <w:color w:val="3A4A5A"/>
          <w:sz w:val="22"/>
          <w:szCs w:val="22"/>
        </w:rPr>
        <w:t xml:space="preserve">Environmental violations.</w:t>
      </w:r>
    </w:p>
    <w:p>
      <w:pPr>
        <w:pStyle w:val="ListParagraph"/>
        <w:numPr>
          <w:ilvl w:val="0"/>
          <w:numId w:val="2"/>
        </w:numPr>
      </w:pPr>
      <w:r>
        <w:rPr>
          <w:rFonts w:ascii="Arial" w:cs="Arial" w:eastAsia="Arial" w:hAnsi="Arial"/>
          <w:color w:val="3A4A5A"/>
          <w:sz w:val="22"/>
          <w:szCs w:val="22"/>
        </w:rPr>
        <w:t xml:space="preserve">Criminal conduct.</w:t>
      </w:r>
    </w:p>
    <w:p>
      <w:pPr>
        <w:spacing w:after="60" w:before="60"/>
      </w:pPr>
      <w:r>
        <w:rPr>
          <w:rFonts w:ascii="Arial" w:cs="Arial" w:eastAsia="Arial" w:hAnsi="Arial"/>
          <w:b w:val="false"/>
          <w:bCs w:val="false"/>
          <w:color w:val="3A4A5A"/>
          <w:sz w:val="22"/>
          <w:szCs w:val="22"/>
        </w:rPr>
        <w:t xml:space="preserve">Whistleblowers may not be dismissed, demoted, harassed, or disciplined in retaliation for protected disclosures.</w:t>
      </w:r>
    </w:p>
    <w:p>
      <w:pPr>
        <w:pStyle w:val="Heading2"/>
      </w:pPr>
      <w:r>
        <w:t xml:space="preserve">9. Time Limits</w:t>
      </w:r>
    </w:p>
    <w:p>
      <w:pPr>
        <w:pStyle w:val="Heading3"/>
      </w:pPr>
      <w:r>
        <w:t xml:space="preserve">Grievance Lodgement Timeframe</w:t>
      </w:r>
    </w:p>
    <w:p>
      <w:pPr>
        <w:spacing w:after="60" w:before="60"/>
      </w:pPr>
      <w:r>
        <w:rPr>
          <w:rFonts w:ascii="Arial" w:cs="Arial" w:eastAsia="Arial" w:hAnsi="Arial"/>
          <w:b w:val="false"/>
          <w:bCs w:val="false"/>
          <w:color w:val="3A4A5A"/>
          <w:sz w:val="22"/>
          <w:szCs w:val="22"/>
        </w:rPr>
        <w:t xml:space="preserve">Grievances should be lodged within 30 days of the incident or discovery of the grievance. The company may consider grievances lodged outside this period at its discretion, but delay may result in inability to investigate properly.</w:t>
      </w:r>
    </w:p>
    <w:p>
      <w:pPr>
        <w:pStyle w:val="Heading3"/>
      </w:pPr>
      <w:r>
        <w:t xml:space="preserve">Response Timeframes</w:t>
      </w:r>
    </w:p>
    <w:p>
      <w:pPr>
        <w:spacing w:after="60" w:before="60"/>
      </w:pPr>
      <w:r>
        <w:rPr>
          <w:rFonts w:ascii="Arial" w:cs="Arial" w:eastAsia="Arial" w:hAnsi="Arial"/>
          <w:b w:val="false"/>
          <w:bCs w:val="false"/>
          <w:color w:val="3A4A5A"/>
          <w:sz w:val="22"/>
          <w:szCs w:val="22"/>
        </w:rPr>
        <w:t xml:space="preserve">All responses to grievances must be provided within prescribed timeframes:</w:t>
      </w:r>
    </w:p>
    <w:p>
      <w:pPr>
        <w:pStyle w:val="ListParagraph"/>
        <w:numPr>
          <w:ilvl w:val="0"/>
          <w:numId w:val="2"/>
        </w:numPr>
      </w:pPr>
      <w:r>
        <w:rPr>
          <w:rFonts w:ascii="Arial" w:cs="Arial" w:eastAsia="Arial" w:hAnsi="Arial"/>
          <w:color w:val="3A4A5A"/>
          <w:sz w:val="22"/>
          <w:szCs w:val="22"/>
        </w:rPr>
        <w:t xml:space="preserve">Informal resolution: 5 working days.</w:t>
      </w:r>
    </w:p>
    <w:p>
      <w:pPr>
        <w:pStyle w:val="ListParagraph"/>
        <w:numPr>
          <w:ilvl w:val="0"/>
          <w:numId w:val="2"/>
        </w:numPr>
      </w:pPr>
      <w:r>
        <w:rPr>
          <w:rFonts w:ascii="Arial" w:cs="Arial" w:eastAsia="Arial" w:hAnsi="Arial"/>
          <w:color w:val="3A4A5A"/>
          <w:sz w:val="22"/>
          <w:szCs w:val="22"/>
        </w:rPr>
        <w:t xml:space="preserve">Formal hearing: Scheduled within 10 working days of lodgement.</w:t>
      </w:r>
    </w:p>
    <w:p>
      <w:pPr>
        <w:pStyle w:val="ListParagraph"/>
        <w:numPr>
          <w:ilvl w:val="0"/>
          <w:numId w:val="2"/>
        </w:numPr>
      </w:pPr>
      <w:r>
        <w:rPr>
          <w:rFonts w:ascii="Arial" w:cs="Arial" w:eastAsia="Arial" w:hAnsi="Arial"/>
          <w:color w:val="3A4A5A"/>
          <w:sz w:val="22"/>
          <w:szCs w:val="22"/>
        </w:rPr>
        <w:t xml:space="preserve">Decision: Within 5 working days of hearing.</w:t>
      </w:r>
    </w:p>
    <w:p>
      <w:pPr>
        <w:pStyle w:val="ListParagraph"/>
        <w:numPr>
          <w:ilvl w:val="0"/>
          <w:numId w:val="2"/>
        </w:numPr>
      </w:pPr>
      <w:r>
        <w:rPr>
          <w:rFonts w:ascii="Arial" w:cs="Arial" w:eastAsia="Arial" w:hAnsi="Arial"/>
          <w:color w:val="3A4A5A"/>
          <w:sz w:val="22"/>
          <w:szCs w:val="22"/>
        </w:rPr>
        <w:t xml:space="preserve">Appeal hearing: Scheduled within 10 working days of appeal lodgement.</w:t>
      </w:r>
    </w:p>
    <w:p>
      <w:pPr>
        <w:pStyle w:val="ListParagraph"/>
        <w:numPr>
          <w:ilvl w:val="0"/>
          <w:numId w:val="2"/>
        </w:numPr>
      </w:pPr>
      <w:r>
        <w:rPr>
          <w:rFonts w:ascii="Arial" w:cs="Arial" w:eastAsia="Arial" w:hAnsi="Arial"/>
          <w:color w:val="3A4A5A"/>
          <w:sz w:val="22"/>
          <w:szCs w:val="22"/>
        </w:rPr>
        <w:t xml:space="preserve">Appeal decision: Within 5 working days of hearing.</w:t>
      </w:r>
    </w:p>
    <w:p>
      <w:pPr>
        <w:pStyle w:val="Heading3"/>
      </w:pPr>
      <w:r>
        <w:t xml:space="preserve">Extensions</w:t>
      </w:r>
    </w:p>
    <w:p>
      <w:pPr>
        <w:spacing w:after="60" w:before="60"/>
      </w:pPr>
      <w:r>
        <w:rPr>
          <w:rFonts w:ascii="Arial" w:cs="Arial" w:eastAsia="Arial" w:hAnsi="Arial"/>
          <w:b w:val="false"/>
          <w:bCs w:val="false"/>
          <w:color w:val="3A4A5A"/>
          <w:sz w:val="22"/>
          <w:szCs w:val="22"/>
        </w:rPr>
        <w:t xml:space="preserve">Timeframes may be extended by written agreement if circumstances warrant (e.g., complexity of investigation, witness availability).</w:t>
      </w:r>
    </w:p>
    <w:p>
      <w:pPr>
        <w:pStyle w:val="Heading2"/>
      </w:pPr>
      <w:r>
        <w:t xml:space="preserve">10. CCMA Referral</w:t>
      </w:r>
    </w:p>
    <w:p>
      <w:pPr>
        <w:spacing w:after="60" w:before="60"/>
      </w:pPr>
      <w:r>
        <w:rPr>
          <w:rFonts w:ascii="Arial" w:cs="Arial" w:eastAsia="Arial" w:hAnsi="Arial"/>
          <w:b w:val="false"/>
          <w:bCs w:val="false"/>
          <w:color w:val="3A4A5A"/>
          <w:sz w:val="22"/>
          <w:szCs w:val="22"/>
        </w:rPr>
        <w:t xml:space="preserve">If a grievance involves alleged unfair labour practice (e.g., unfair treatment, discrimination, wrongful suspension), unresolved after internal procedures, the employee may refer the matter to the CCMA within 30 days of the alleged violation (or 30 days from final internal decision), in accordance with s191 of the LRA.</w:t>
      </w:r>
    </w:p>
    <w:p>
      <w:pPr>
        <w:pStyle w:val="Heading2"/>
      </w:pPr>
      <w:r>
        <w:t xml:space="preserve">11. Anti-Victimisation and Protected Rights</w:t>
      </w:r>
    </w:p>
    <w:p>
      <w:pPr>
        <w:spacing w:after="60" w:before="60"/>
      </w:pPr>
      <w:r>
        <w:rPr>
          <w:rFonts w:ascii="Arial" w:cs="Arial" w:eastAsia="Arial" w:hAnsi="Arial"/>
          <w:b w:val="false"/>
          <w:bCs w:val="false"/>
          <w:color w:val="3A4A5A"/>
          <w:sz w:val="22"/>
          <w:szCs w:val="22"/>
        </w:rPr>
        <w:t xml:space="preserve">Jera Consulting strictly prohibits victimisation or retaliation against any employee for:</w:t>
      </w:r>
    </w:p>
    <w:p>
      <w:pPr>
        <w:pStyle w:val="ListParagraph"/>
        <w:numPr>
          <w:ilvl w:val="0"/>
          <w:numId w:val="2"/>
        </w:numPr>
      </w:pPr>
      <w:r>
        <w:rPr>
          <w:rFonts w:ascii="Arial" w:cs="Arial" w:eastAsia="Arial" w:hAnsi="Arial"/>
          <w:color w:val="3A4A5A"/>
          <w:sz w:val="22"/>
          <w:szCs w:val="22"/>
        </w:rPr>
        <w:t xml:space="preserve">Lodging a genuine grievance.</w:t>
      </w:r>
    </w:p>
    <w:p>
      <w:pPr>
        <w:pStyle w:val="ListParagraph"/>
        <w:numPr>
          <w:ilvl w:val="0"/>
          <w:numId w:val="2"/>
        </w:numPr>
      </w:pPr>
      <w:r>
        <w:rPr>
          <w:rFonts w:ascii="Arial" w:cs="Arial" w:eastAsia="Arial" w:hAnsi="Arial"/>
          <w:color w:val="3A4A5A"/>
          <w:sz w:val="22"/>
          <w:szCs w:val="22"/>
        </w:rPr>
        <w:t xml:space="preserve">Participating as a witness or representative in a grievance process.</w:t>
      </w:r>
    </w:p>
    <w:p>
      <w:pPr>
        <w:pStyle w:val="ListParagraph"/>
        <w:numPr>
          <w:ilvl w:val="0"/>
          <w:numId w:val="2"/>
        </w:numPr>
      </w:pPr>
      <w:r>
        <w:rPr>
          <w:rFonts w:ascii="Arial" w:cs="Arial" w:eastAsia="Arial" w:hAnsi="Arial"/>
          <w:color w:val="3A4A5A"/>
          <w:sz w:val="22"/>
          <w:szCs w:val="22"/>
        </w:rPr>
        <w:t xml:space="preserve">Providing information during investigation.</w:t>
      </w:r>
    </w:p>
    <w:p>
      <w:pPr>
        <w:pStyle w:val="ListParagraph"/>
        <w:numPr>
          <w:ilvl w:val="0"/>
          <w:numId w:val="2"/>
        </w:numPr>
      </w:pPr>
      <w:r>
        <w:rPr>
          <w:rFonts w:ascii="Arial" w:cs="Arial" w:eastAsia="Arial" w:hAnsi="Arial"/>
          <w:color w:val="3A4A5A"/>
          <w:sz w:val="22"/>
          <w:szCs w:val="22"/>
        </w:rPr>
        <w:t xml:space="preserve">Making a protected disclosure.</w:t>
      </w:r>
    </w:p>
    <w:p>
      <w:pPr>
        <w:spacing w:after="60" w:before="60"/>
      </w:pPr>
      <w:r>
        <w:rPr>
          <w:rFonts w:ascii="Arial" w:cs="Arial" w:eastAsia="Arial" w:hAnsi="Arial"/>
          <w:b w:val="false"/>
          <w:bCs w:val="false"/>
          <w:color w:val="3A4A5A"/>
          <w:sz w:val="22"/>
          <w:szCs w:val="22"/>
        </w:rPr>
        <w:t xml:space="preserve">Any form of retaliation is a serious disciplinary matter and may result in dismissal.</w:t>
      </w:r>
    </w:p>
    <w:p>
      <w:pPr>
        <w:pStyle w:val="Heading2"/>
      </w:pPr>
      <w:r>
        <w:t xml:space="preserve">12. Documentation and Record Keeping</w:t>
      </w:r>
    </w:p>
    <w:p>
      <w:pPr>
        <w:spacing w:after="60" w:before="60"/>
      </w:pPr>
      <w:r>
        <w:rPr>
          <w:rFonts w:ascii="Arial" w:cs="Arial" w:eastAsia="Arial" w:hAnsi="Arial"/>
          <w:b w:val="false"/>
          <w:bCs w:val="false"/>
          <w:color w:val="3A4A5A"/>
          <w:sz w:val="22"/>
          <w:szCs w:val="22"/>
        </w:rPr>
        <w:t xml:space="preserve">All grievance matters are documented and filed on the employee's personnel file or in a secure grievance register, including:</w:t>
      </w:r>
    </w:p>
    <w:p>
      <w:pPr>
        <w:pStyle w:val="ListParagraph"/>
        <w:numPr>
          <w:ilvl w:val="0"/>
          <w:numId w:val="2"/>
        </w:numPr>
      </w:pPr>
      <w:r>
        <w:rPr>
          <w:rFonts w:ascii="Arial" w:cs="Arial" w:eastAsia="Arial" w:hAnsi="Arial"/>
          <w:color w:val="3A4A5A"/>
          <w:sz w:val="22"/>
          <w:szCs w:val="22"/>
        </w:rPr>
        <w:t xml:space="preserve">Grievance form and supporting documents.</w:t>
      </w:r>
    </w:p>
    <w:p>
      <w:pPr>
        <w:pStyle w:val="ListParagraph"/>
        <w:numPr>
          <w:ilvl w:val="0"/>
          <w:numId w:val="2"/>
        </w:numPr>
      </w:pPr>
      <w:r>
        <w:rPr>
          <w:rFonts w:ascii="Arial" w:cs="Arial" w:eastAsia="Arial" w:hAnsi="Arial"/>
          <w:color w:val="3A4A5A"/>
          <w:sz w:val="22"/>
          <w:szCs w:val="22"/>
        </w:rPr>
        <w:t xml:space="preserve">Hearing notes and minutes.</w:t>
      </w:r>
    </w:p>
    <w:p>
      <w:pPr>
        <w:pStyle w:val="ListParagraph"/>
        <w:numPr>
          <w:ilvl w:val="0"/>
          <w:numId w:val="2"/>
        </w:numPr>
      </w:pPr>
      <w:r>
        <w:rPr>
          <w:rFonts w:ascii="Arial" w:cs="Arial" w:eastAsia="Arial" w:hAnsi="Arial"/>
          <w:color w:val="3A4A5A"/>
          <w:sz w:val="22"/>
          <w:szCs w:val="22"/>
        </w:rPr>
        <w:t xml:space="preserve">Written decisions.</w:t>
      </w:r>
    </w:p>
    <w:p>
      <w:pPr>
        <w:pStyle w:val="ListParagraph"/>
        <w:numPr>
          <w:ilvl w:val="0"/>
          <w:numId w:val="2"/>
        </w:numPr>
      </w:pPr>
      <w:r>
        <w:rPr>
          <w:rFonts w:ascii="Arial" w:cs="Arial" w:eastAsia="Arial" w:hAnsi="Arial"/>
          <w:color w:val="3A4A5A"/>
          <w:sz w:val="22"/>
          <w:szCs w:val="22"/>
        </w:rPr>
        <w:t xml:space="preserve">Appeal proceedings.</w:t>
      </w:r>
    </w:p>
    <w:p>
      <w:pPr>
        <w:pStyle w:val="ListParagraph"/>
        <w:numPr>
          <w:ilvl w:val="0"/>
          <w:numId w:val="2"/>
        </w:numPr>
      </w:pPr>
      <w:r>
        <w:rPr>
          <w:rFonts w:ascii="Arial" w:cs="Arial" w:eastAsia="Arial" w:hAnsi="Arial"/>
          <w:color w:val="3A4A5A"/>
          <w:sz w:val="22"/>
          <w:szCs w:val="22"/>
        </w:rPr>
        <w:t xml:space="preserve">Remedial actions taken.</w:t>
      </w:r>
    </w:p>
    <w:p>
      <w:pPr>
        <w:spacing w:after="60" w:before="60"/>
      </w:pPr>
      <w:r>
        <w:rPr>
          <w:rFonts w:ascii="Arial" w:cs="Arial" w:eastAsia="Arial" w:hAnsi="Arial"/>
          <w:b w:val="false"/>
          <w:bCs w:val="false"/>
          <w:color w:val="3A4A5A"/>
          <w:sz w:val="22"/>
          <w:szCs w:val="22"/>
        </w:rPr>
        <w:t xml:space="preserve">Files maintained confidentially and retained for 3 years post-resolution per POPIA requirements.</w:t>
      </w:r>
    </w:p>
    <w:p>
      <w:pPr>
        <w:pStyle w:val="Heading2"/>
      </w:pPr>
      <w:r>
        <w:t xml:space="preserve">13. Confidentiality</w:t>
      </w:r>
    </w:p>
    <w:p>
      <w:pPr>
        <w:spacing w:after="60" w:before="60"/>
      </w:pPr>
      <w:r>
        <w:rPr>
          <w:rFonts w:ascii="Arial" w:cs="Arial" w:eastAsia="Arial" w:hAnsi="Arial"/>
          <w:b w:val="false"/>
          <w:bCs w:val="false"/>
          <w:color w:val="3A4A5A"/>
          <w:sz w:val="22"/>
          <w:szCs w:val="22"/>
        </w:rPr>
        <w:t xml:space="preserve">All parties to a grievance process must maintain confidentiality regarding the substance of the grievance, hearing proceedings, and decision, except where:</w:t>
      </w:r>
    </w:p>
    <w:p>
      <w:pPr>
        <w:pStyle w:val="ListParagraph"/>
        <w:numPr>
          <w:ilvl w:val="0"/>
          <w:numId w:val="2"/>
        </w:numPr>
      </w:pPr>
      <w:r>
        <w:rPr>
          <w:rFonts w:ascii="Arial" w:cs="Arial" w:eastAsia="Arial" w:hAnsi="Arial"/>
          <w:color w:val="3A4A5A"/>
          <w:sz w:val="22"/>
          <w:szCs w:val="22"/>
        </w:rPr>
        <w:t xml:space="preserve">Disclosure is necessary for implementation of remedial action.</w:t>
      </w:r>
    </w:p>
    <w:p>
      <w:pPr>
        <w:pStyle w:val="ListParagraph"/>
        <w:numPr>
          <w:ilvl w:val="0"/>
          <w:numId w:val="2"/>
        </w:numPr>
      </w:pPr>
      <w:r>
        <w:rPr>
          <w:rFonts w:ascii="Arial" w:cs="Arial" w:eastAsia="Arial" w:hAnsi="Arial"/>
          <w:color w:val="3A4A5A"/>
          <w:sz w:val="22"/>
          <w:szCs w:val="22"/>
        </w:rPr>
        <w:t xml:space="preserve">Required by law or regulatory authority.</w:t>
      </w:r>
    </w:p>
    <w:p>
      <w:pPr>
        <w:pStyle w:val="ListParagraph"/>
        <w:numPr>
          <w:ilvl w:val="0"/>
          <w:numId w:val="2"/>
        </w:numPr>
      </w:pPr>
      <w:r>
        <w:rPr>
          <w:rFonts w:ascii="Arial" w:cs="Arial" w:eastAsia="Arial" w:hAnsi="Arial"/>
          <w:color w:val="3A4A5A"/>
          <w:sz w:val="22"/>
          <w:szCs w:val="22"/>
        </w:rPr>
        <w:t xml:space="preserve">Necessary to protect health and safety.</w:t>
      </w:r>
    </w:p>
    <w:p>
      <w:pPr>
        <w:pStyle w:val="ListParagraph"/>
        <w:numPr>
          <w:ilvl w:val="0"/>
          <w:numId w:val="2"/>
        </w:numPr>
      </w:pPr>
      <w:r>
        <w:rPr>
          <w:rFonts w:ascii="Arial" w:cs="Arial" w:eastAsia="Arial" w:hAnsi="Arial"/>
          <w:color w:val="3A4A5A"/>
          <w:sz w:val="22"/>
          <w:szCs w:val="22"/>
        </w:rPr>
        <w:t xml:space="preserve">Required for CCMA or legal proceedings.</w:t>
      </w:r>
    </w:p>
    <w:p>
      <w:pPr>
        <w:pStyle w:val="Heading2"/>
      </w:pPr>
      <w:r>
        <w:t xml:space="preserve">14. Grievance Forms</w:t>
      </w:r>
    </w:p>
    <w:p>
      <w:pPr>
        <w:pStyle w:val="Heading3"/>
      </w:pPr>
      <w:r>
        <w:t xml:space="preserve">Form A: Grievance Lodgement Form</w:t>
      </w:r>
    </w:p>
    <w:p>
      <w:pPr>
        <w:pStyle w:val="ListParagraph"/>
        <w:numPr>
          <w:ilvl w:val="0"/>
          <w:numId w:val="2"/>
        </w:numPr>
      </w:pPr>
      <w:r>
        <w:rPr>
          <w:rFonts w:ascii="Arial" w:cs="Arial" w:eastAsia="Arial" w:hAnsi="Arial"/>
          <w:color w:val="3A4A5A"/>
          <w:sz w:val="22"/>
          <w:szCs w:val="22"/>
        </w:rPr>
        <w:t xml:space="preserve">Employee Name and ID.</w:t>
      </w:r>
    </w:p>
    <w:p>
      <w:pPr>
        <w:pStyle w:val="ListParagraph"/>
        <w:numPr>
          <w:ilvl w:val="0"/>
          <w:numId w:val="2"/>
        </w:numPr>
      </w:pPr>
      <w:r>
        <w:rPr>
          <w:rFonts w:ascii="Arial" w:cs="Arial" w:eastAsia="Arial" w:hAnsi="Arial"/>
          <w:color w:val="3A4A5A"/>
          <w:sz w:val="22"/>
          <w:szCs w:val="22"/>
        </w:rPr>
        <w:t xml:space="preserve">Date of Lodgement.</w:t>
      </w:r>
    </w:p>
    <w:p>
      <w:pPr>
        <w:pStyle w:val="ListParagraph"/>
        <w:numPr>
          <w:ilvl w:val="0"/>
          <w:numId w:val="2"/>
        </w:numPr>
      </w:pPr>
      <w:r>
        <w:rPr>
          <w:rFonts w:ascii="Arial" w:cs="Arial" w:eastAsia="Arial" w:hAnsi="Arial"/>
          <w:color w:val="3A4A5A"/>
          <w:sz w:val="22"/>
          <w:szCs w:val="22"/>
        </w:rPr>
        <w:t xml:space="preserve">Nature of Grievance (detailed description).</w:t>
      </w:r>
    </w:p>
    <w:p>
      <w:pPr>
        <w:pStyle w:val="ListParagraph"/>
        <w:numPr>
          <w:ilvl w:val="0"/>
          <w:numId w:val="2"/>
        </w:numPr>
      </w:pPr>
      <w:r>
        <w:rPr>
          <w:rFonts w:ascii="Arial" w:cs="Arial" w:eastAsia="Arial" w:hAnsi="Arial"/>
          <w:color w:val="3A4A5A"/>
          <w:sz w:val="22"/>
          <w:szCs w:val="22"/>
        </w:rPr>
        <w:t xml:space="preserve">Relevant dates and people involved.</w:t>
      </w:r>
    </w:p>
    <w:p>
      <w:pPr>
        <w:pStyle w:val="ListParagraph"/>
        <w:numPr>
          <w:ilvl w:val="0"/>
          <w:numId w:val="2"/>
        </w:numPr>
      </w:pPr>
      <w:r>
        <w:rPr>
          <w:rFonts w:ascii="Arial" w:cs="Arial" w:eastAsia="Arial" w:hAnsi="Arial"/>
          <w:color w:val="3A4A5A"/>
          <w:sz w:val="22"/>
          <w:szCs w:val="22"/>
        </w:rPr>
        <w:t xml:space="preserve">Witnesses.</w:t>
      </w:r>
    </w:p>
    <w:p>
      <w:pPr>
        <w:pStyle w:val="ListParagraph"/>
        <w:numPr>
          <w:ilvl w:val="0"/>
          <w:numId w:val="2"/>
        </w:numPr>
      </w:pPr>
      <w:r>
        <w:rPr>
          <w:rFonts w:ascii="Arial" w:cs="Arial" w:eastAsia="Arial" w:hAnsi="Arial"/>
          <w:color w:val="3A4A5A"/>
          <w:sz w:val="22"/>
          <w:szCs w:val="22"/>
        </w:rPr>
        <w:t xml:space="preserve">Outcome sought.</w:t>
      </w:r>
    </w:p>
    <w:p>
      <w:pPr>
        <w:pStyle w:val="ListParagraph"/>
        <w:numPr>
          <w:ilvl w:val="0"/>
          <w:numId w:val="2"/>
        </w:numPr>
      </w:pPr>
      <w:r>
        <w:rPr>
          <w:rFonts w:ascii="Arial" w:cs="Arial" w:eastAsia="Arial" w:hAnsi="Arial"/>
          <w:color w:val="3A4A5A"/>
          <w:sz w:val="22"/>
          <w:szCs w:val="22"/>
        </w:rPr>
        <w:t xml:space="preserve">Supporting documents attached.</w:t>
      </w:r>
    </w:p>
    <w:p>
      <w:pPr>
        <w:pStyle w:val="ListParagraph"/>
        <w:numPr>
          <w:ilvl w:val="0"/>
          <w:numId w:val="2"/>
        </w:numPr>
      </w:pPr>
      <w:r>
        <w:rPr>
          <w:rFonts w:ascii="Arial" w:cs="Arial" w:eastAsia="Arial" w:hAnsi="Arial"/>
          <w:color w:val="3A4A5A"/>
          <w:sz w:val="22"/>
          <w:szCs w:val="22"/>
        </w:rPr>
        <w:t xml:space="preserve">Employee signature and date.</w:t>
      </w:r>
    </w:p>
    <w:p>
      <w:pPr>
        <w:pStyle w:val="Heading3"/>
      </w:pPr>
      <w:r>
        <w:t xml:space="preserve">Form B: Notice of Grievance Hearing</w:t>
      </w:r>
    </w:p>
    <w:p>
      <w:pPr>
        <w:pStyle w:val="ListParagraph"/>
        <w:numPr>
          <w:ilvl w:val="0"/>
          <w:numId w:val="2"/>
        </w:numPr>
      </w:pPr>
      <w:r>
        <w:rPr>
          <w:rFonts w:ascii="Arial" w:cs="Arial" w:eastAsia="Arial" w:hAnsi="Arial"/>
          <w:color w:val="3A4A5A"/>
          <w:sz w:val="22"/>
          <w:szCs w:val="22"/>
        </w:rPr>
        <w:t xml:space="preserve">Hearing date, time, and venue.</w:t>
      </w:r>
    </w:p>
    <w:p>
      <w:pPr>
        <w:pStyle w:val="ListParagraph"/>
        <w:numPr>
          <w:ilvl w:val="0"/>
          <w:numId w:val="2"/>
        </w:numPr>
      </w:pPr>
      <w:r>
        <w:rPr>
          <w:rFonts w:ascii="Arial" w:cs="Arial" w:eastAsia="Arial" w:hAnsi="Arial"/>
          <w:color w:val="3A4A5A"/>
          <w:sz w:val="22"/>
          <w:szCs w:val="22"/>
        </w:rPr>
        <w:t xml:space="preserve">Summary of grievance.</w:t>
      </w:r>
    </w:p>
    <w:p>
      <w:pPr>
        <w:pStyle w:val="ListParagraph"/>
        <w:numPr>
          <w:ilvl w:val="0"/>
          <w:numId w:val="2"/>
        </w:numPr>
      </w:pPr>
      <w:r>
        <w:rPr>
          <w:rFonts w:ascii="Arial" w:cs="Arial" w:eastAsia="Arial" w:hAnsi="Arial"/>
          <w:color w:val="3A4A5A"/>
          <w:sz w:val="22"/>
          <w:szCs w:val="22"/>
        </w:rPr>
        <w:t xml:space="preserve">Right to representation.</w:t>
      </w:r>
    </w:p>
    <w:p>
      <w:pPr>
        <w:pStyle w:val="ListParagraph"/>
        <w:numPr>
          <w:ilvl w:val="0"/>
          <w:numId w:val="2"/>
        </w:numPr>
      </w:pPr>
      <w:r>
        <w:rPr>
          <w:rFonts w:ascii="Arial" w:cs="Arial" w:eastAsia="Arial" w:hAnsi="Arial"/>
          <w:color w:val="3A4A5A"/>
          <w:sz w:val="22"/>
          <w:szCs w:val="22"/>
        </w:rPr>
        <w:t xml:space="preserve">Submission deadline for additional evidence.</w:t>
      </w:r>
    </w:p>
    <w:p>
      <w:pPr>
        <w:pStyle w:val="Heading3"/>
      </w:pPr>
      <w:r>
        <w:t xml:space="preserve">Form C: Grievance Decision Form</w:t>
      </w:r>
    </w:p>
    <w:p>
      <w:pPr>
        <w:pStyle w:val="ListParagraph"/>
        <w:numPr>
          <w:ilvl w:val="0"/>
          <w:numId w:val="2"/>
        </w:numPr>
      </w:pPr>
      <w:r>
        <w:rPr>
          <w:rFonts w:ascii="Arial" w:cs="Arial" w:eastAsia="Arial" w:hAnsi="Arial"/>
          <w:color w:val="3A4A5A"/>
          <w:sz w:val="22"/>
          <w:szCs w:val="22"/>
        </w:rPr>
        <w:t xml:space="preserve">Date and hearing details.</w:t>
      </w:r>
    </w:p>
    <w:p>
      <w:pPr>
        <w:pStyle w:val="ListParagraph"/>
        <w:numPr>
          <w:ilvl w:val="0"/>
          <w:numId w:val="2"/>
        </w:numPr>
      </w:pPr>
      <w:r>
        <w:rPr>
          <w:rFonts w:ascii="Arial" w:cs="Arial" w:eastAsia="Arial" w:hAnsi="Arial"/>
          <w:color w:val="3A4A5A"/>
          <w:sz w:val="22"/>
          <w:szCs w:val="22"/>
        </w:rPr>
        <w:t xml:space="preserve">Findings on evidence.</w:t>
      </w:r>
    </w:p>
    <w:p>
      <w:pPr>
        <w:pStyle w:val="ListParagraph"/>
        <w:numPr>
          <w:ilvl w:val="0"/>
          <w:numId w:val="2"/>
        </w:numPr>
      </w:pPr>
      <w:r>
        <w:rPr>
          <w:rFonts w:ascii="Arial" w:cs="Arial" w:eastAsia="Arial" w:hAnsi="Arial"/>
          <w:color w:val="3A4A5A"/>
          <w:sz w:val="22"/>
          <w:szCs w:val="22"/>
        </w:rPr>
        <w:t xml:space="preserve">Decision (upheld/partially upheld/dismissed).</w:t>
      </w:r>
    </w:p>
    <w:p>
      <w:pPr>
        <w:pStyle w:val="ListParagraph"/>
        <w:numPr>
          <w:ilvl w:val="0"/>
          <w:numId w:val="2"/>
        </w:numPr>
      </w:pPr>
      <w:r>
        <w:rPr>
          <w:rFonts w:ascii="Arial" w:cs="Arial" w:eastAsia="Arial" w:hAnsi="Arial"/>
          <w:color w:val="3A4A5A"/>
          <w:sz w:val="22"/>
          <w:szCs w:val="22"/>
        </w:rPr>
        <w:t xml:space="preserve">Remedial action (if applicable).</w:t>
      </w:r>
    </w:p>
    <w:p>
      <w:pPr>
        <w:pStyle w:val="ListParagraph"/>
        <w:numPr>
          <w:ilvl w:val="0"/>
          <w:numId w:val="2"/>
        </w:numPr>
      </w:pPr>
      <w:r>
        <w:rPr>
          <w:rFonts w:ascii="Arial" w:cs="Arial" w:eastAsia="Arial" w:hAnsi="Arial"/>
          <w:color w:val="3A4A5A"/>
          <w:sz w:val="22"/>
          <w:szCs w:val="22"/>
        </w:rPr>
        <w:t xml:space="preserve">Appeal rights and deadline.</w:t>
      </w:r>
    </w:p>
    <w:p>
      <w:pPr>
        <w:pStyle w:val="ListParagraph"/>
        <w:numPr>
          <w:ilvl w:val="0"/>
          <w:numId w:val="2"/>
        </w:numPr>
      </w:pPr>
      <w:r>
        <w:rPr>
          <w:rFonts w:ascii="Arial" w:cs="Arial" w:eastAsia="Arial" w:hAnsi="Arial"/>
          <w:color w:val="3A4A5A"/>
          <w:sz w:val="22"/>
          <w:szCs w:val="22"/>
        </w:rPr>
        <w:t xml:space="preserve">Decision maker signature and date.</w:t>
      </w:r>
    </w:p>
    <w:p>
      <w:pPr>
        <w:spacing w:after="0" w:before="300"/>
      </w:pPr>
    </w:p>
    <w:p>
      <w:pPr>
        <w:pStyle w:val="Heading2"/>
      </w:pPr>
      <w:r>
        <w:t xml:space="preserve">Sign-Off</w:t>
      </w:r>
    </w:p>
    <w:p>
      <w:pPr>
        <w:spacing w:after="60" w:before="60"/>
      </w:pPr>
      <w:r>
        <w:rPr>
          <w:rFonts w:ascii="Arial" w:cs="Arial" w:eastAsia="Arial" w:hAnsi="Arial"/>
          <w:b w:val="false"/>
          <w:bCs w:val="false"/>
          <w:color w:val="3A4A5A"/>
          <w:sz w:val="22"/>
          <w:szCs w:val="22"/>
        </w:rPr>
        <w:t xml:space="preserve">This policy has been reviewed and approved by the undersigned.</w:t>
      </w:r>
    </w:p>
    <w:p>
      <w:pPr>
        <w:spacing w:after="0" w:before="12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16"/>
        <w:gridCol w:w="2617"/>
        <w:gridCol w:w="3116"/>
        <w:gridCol w:w="2117"/>
      </w:tblGrid>
      <w:tr>
        <w:tc>
          <w:tcPr>
            <w:tcW w:type="dxa" w:w="2616"/>
            <w:tcBorders>
              <w:top w:val="single" w:color="DDE1EA" w:sz="4"/>
              <w:left w:val="single" w:color="DDE1EA" w:sz="4"/>
              <w:bottom w:val="single" w:color="DDE1EA" w:sz="4"/>
              <w:right w:val="single" w:color="DDE1EA" w:sz="4"/>
            </w:tcBorders>
            <w:shd w:fill="1B6FFF"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2617"/>
            <w:tcBorders>
              <w:top w:val="single" w:color="DDE1EA" w:sz="4"/>
              <w:left w:val="single" w:color="DDE1EA" w:sz="4"/>
              <w:bottom w:val="single" w:color="DDE1EA" w:sz="4"/>
              <w:right w:val="single" w:color="DDE1EA" w:sz="4"/>
            </w:tcBorders>
            <w:shd w:fill="1B6FFF"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3116"/>
            <w:tcBorders>
              <w:top w:val="single" w:color="DDE1EA" w:sz="4"/>
              <w:left w:val="single" w:color="DDE1EA" w:sz="4"/>
              <w:bottom w:val="single" w:color="DDE1EA" w:sz="4"/>
              <w:right w:val="single" w:color="DDE1EA" w:sz="4"/>
            </w:tcBorders>
            <w:shd w:fill="1B6FFF" w:val="clear"/>
            <w:tcMar>
              <w:top w:type="dxa" w:w="80"/>
              <w:left w:type="dxa" w:w="120"/>
              <w:bottom w:type="dxa" w:w="80"/>
              <w:right w:type="dxa" w:w="120"/>
            </w:tcMar>
          </w:tcPr>
          <w:p>
            <w:r>
              <w:rPr>
                <w:rFonts w:ascii="Arial" w:cs="Arial" w:eastAsia="Arial" w:hAnsi="Arial"/>
                <w:b/>
                <w:bCs/>
                <w:color w:val="FFFFFF"/>
                <w:sz w:val="18"/>
                <w:szCs w:val="18"/>
              </w:rPr>
              <w:t xml:space="preserve">Signature</w:t>
            </w:r>
          </w:p>
        </w:tc>
        <w:tc>
          <w:tcPr>
            <w:tcW w:type="dxa" w:w="2117"/>
            <w:tcBorders>
              <w:top w:val="single" w:color="DDE1EA" w:sz="4"/>
              <w:left w:val="single" w:color="DDE1EA" w:sz="4"/>
              <w:bottom w:val="single" w:color="DDE1EA" w:sz="4"/>
              <w:right w:val="single" w:color="DDE1EA" w:sz="4"/>
            </w:tcBorders>
            <w:shd w:fill="1B6FFF" w:val="clear"/>
            <w:tcMar>
              <w:top w:type="dxa" w:w="80"/>
              <w:left w:type="dxa" w:w="120"/>
              <w:bottom w:type="dxa" w:w="80"/>
              <w:right w:type="dxa" w:w="120"/>
            </w:tcMar>
          </w:tcPr>
          <w:p>
            <w:r>
              <w:rPr>
                <w:rFonts w:ascii="Arial" w:cs="Arial" w:eastAsia="Arial" w:hAnsi="Arial"/>
                <w:b/>
                <w:bCs/>
                <w:color w:val="FFFFFF"/>
                <w:sz w:val="18"/>
                <w:szCs w:val="18"/>
              </w:rPr>
              <w:t xml:space="preserve">Date</w:t>
            </w:r>
          </w:p>
        </w:tc>
      </w:tr>
      <w:tr>
        <w:tc>
          <w:tcPr>
            <w:tcW w:type="dxa" w:w="2616"/>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2617"/>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3116"/>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2117"/>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r>
      <w:tr>
        <w:tc>
          <w:tcPr>
            <w:tcW w:type="dxa" w:w="2616"/>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2617"/>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3116"/>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2117"/>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color w:val="3A4A5A"/>
                <w:sz w:val="18"/>
                <w:szCs w:val="18"/>
              </w:rPr>
              <w:t xml:space="preserve"> </w:t>
            </w:r>
          </w:p>
        </w:tc>
      </w:tr>
      <w:tr>
        <w:tc>
          <w:tcPr>
            <w:tcW w:type="dxa" w:w="2616"/>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2617"/>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3116"/>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2117"/>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r>
    </w:tbl>
    <w:p>
      <w:pPr>
        <w:spacing w:after="0" w:before="200"/>
      </w:pPr>
    </w:p>
    <w:p>
      <w:pPr>
        <w:pStyle w:val="Heading2"/>
      </w:pPr>
      <w:r>
        <w:t xml:space="preserve">Communication and Amendments</w:t>
      </w:r>
    </w:p>
    <w:p>
      <w:pPr>
        <w:pStyle w:val="ListParagraph"/>
        <w:numPr>
          <w:ilvl w:val="0"/>
          <w:numId w:val="2"/>
        </w:numPr>
      </w:pPr>
      <w:r>
        <w:rPr>
          <w:rFonts w:ascii="Arial" w:cs="Arial" w:eastAsia="Arial" w:hAnsi="Arial"/>
          <w:color w:val="3A4A5A"/>
          <w:sz w:val="22"/>
          <w:szCs w:val="22"/>
        </w:rPr>
        <w:t xml:space="preserve">Managers and team leaders must communicate this policy to all employees reporting to them.</w:t>
      </w:r>
    </w:p>
    <w:p>
      <w:pPr>
        <w:pStyle w:val="ListParagraph"/>
        <w:numPr>
          <w:ilvl w:val="0"/>
          <w:numId w:val="2"/>
        </w:numPr>
      </w:pPr>
      <w:r>
        <w:rPr>
          <w:rFonts w:ascii="Arial" w:cs="Arial" w:eastAsia="Arial" w:hAnsi="Arial"/>
          <w:color w:val="3A4A5A"/>
          <w:sz w:val="22"/>
          <w:szCs w:val="22"/>
        </w:rPr>
        <w:t xml:space="preserve">This policy may be amended from time to time without prior consultation or notice, subject to applicable legislation.</w:t>
      </w:r>
    </w:p>
    <w:p>
      <w:pPr>
        <w:pStyle w:val="ListParagraph"/>
        <w:numPr>
          <w:ilvl w:val="0"/>
          <w:numId w:val="2"/>
        </w:numPr>
      </w:pPr>
      <w:r>
        <w:rPr>
          <w:rFonts w:ascii="Arial" w:cs="Arial" w:eastAsia="Arial" w:hAnsi="Arial"/>
          <w:color w:val="3A4A5A"/>
          <w:sz w:val="22"/>
          <w:szCs w:val="22"/>
        </w:rPr>
        <w:t xml:space="preserve">The most current version of this policy will be made available on the company intranet or shared document repository.</w:t>
      </w:r>
    </w:p>
    <w:sectPr>
      <w:headerReference w:type="default" r:id="rId7"/>
      <w:footerReference w:type="default" r:id="rId8"/>
      <w:pgSz w:w="11906" w:h="16838" w:orient="portrait"/>
      <w:pgMar w:top="720" w:right="720" w:bottom="144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466"/>
      <w:tblBorders>
        <w:top w:val="none"/>
        <w:left w:val="none"/>
        <w:bottom w:val="none"/>
        <w:right w:val="none"/>
        <w:insideH w:val="single" w:color="auto" w:sz="4"/>
        <w:insideV w:val="single" w:color="auto" w:sz="4"/>
      </w:tblBorders>
    </w:tblPr>
    <w:tblGrid>
      <w:gridCol w:w="6800"/>
      <w:gridCol w:w="3666"/>
    </w:tblGrid>
    <w:tr>
      <w:tc>
        <w:tcPr>
          <w:tcW w:type="dxa" w:w="6800"/>
          <w:tcBorders>
            <w:top w:val="single" w:color="DDE1EA" w:sz="4"/>
            <w:left w:val="none"/>
            <w:bottom w:val="none"/>
            <w:right w:val="none"/>
          </w:tcBorders>
          <w:tcMar>
            <w:top w:type="dxa" w:w="80"/>
            <w:left w:type="dxa" w:w="0"/>
            <w:bottom w:type="dxa" w:w="0"/>
            <w:right w:type="dxa" w:w="120"/>
          </w:tcMar>
        </w:tcPr>
        <w:p>
          <w:pPr>
            <w:spacing w:after="0" w:before="80"/>
          </w:pPr>
          <w:r>
            <w:rPr>
              <w:rFonts w:ascii="Arial" w:cs="Arial" w:eastAsia="Arial" w:hAnsi="Arial"/>
              <w:color w:val="8A98A8"/>
              <w:sz w:val="14"/>
              <w:szCs w:val="14"/>
            </w:rPr>
            <w:t xml:space="preserve">256 Rondebult Rd, Parkdene, Boksburg, 1459, Gauteng  |  Tel: +27(0)11-913-3320</w:t>
          </w:r>
        </w:p>
        <w:p>
          <w:pPr>
            <w:spacing w:after="0" w:before="20"/>
          </w:pPr>
          <w:r>
            <w:rPr>
              <w:rFonts w:ascii="Arial" w:cs="Arial" w:eastAsia="Arial" w:hAnsi="Arial"/>
              <w:color w:val="8A98A8"/>
              <w:sz w:val="14"/>
              <w:szCs w:val="14"/>
            </w:rPr>
            <w:t xml:space="preserve">Reg No: 1988/007393/07  |  VAT: 4210112126  |  Est. 1988</w:t>
          </w:r>
        </w:p>
        <w:p>
          <w:pPr>
            <w:spacing w:after="0" w:before="20"/>
          </w:pPr>
          <w:r>
            <w:rPr>
              <w:rFonts w:ascii="Arial" w:cs="Arial" w:eastAsia="Arial" w:hAnsi="Arial"/>
              <w:color w:val="8A98A8"/>
              <w:sz w:val="14"/>
              <w:szCs w:val="14"/>
            </w:rPr>
            <w:t xml:space="preserve">Directors: R.A. de Kock (Managing), C. Haasbroek</w:t>
          </w:r>
        </w:p>
      </w:tc>
      <w:tc>
        <w:tcPr>
          <w:tcW w:type="dxa" w:w="3666"/>
          <w:tcBorders>
            <w:top w:val="single" w:color="DDE1EA" w:sz="4"/>
            <w:left w:val="none"/>
            <w:bottom w:val="none"/>
            <w:right w:val="none"/>
          </w:tcBorders>
          <w:tcMar>
            <w:top w:type="dxa" w:w="80"/>
            <w:left w:type="dxa" w:w="120"/>
            <w:bottom w:type="dxa" w:w="0"/>
            <w:right w:type="dxa" w:w="0"/>
          </w:tcMar>
          <w:vAlign w:val="center"/>
        </w:tcPr>
        <w:p>
          <w:pPr>
            <w:spacing w:after="0" w:before="0"/>
            <w:jc w:val="right"/>
          </w:pPr>
          <w:r>
            <w:rPr>
              <w:rFonts w:ascii="Arial" w:cs="Arial" w:eastAsia="Arial" w:hAnsi="Arial"/>
              <w:color w:val="1B6FFF"/>
              <w:sz w:val="14"/>
              <w:szCs w:val="14"/>
            </w:rPr>
            <w:t xml:space="preserve">jera.co.za</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6FFF" w:sz="16" w:space="4"/>
      </w:pBdr>
      <w:spacing w:after="0"/>
      <w:jc w:val="left"/>
    </w:pPr>
    <w:r>
      <w:drawing>
        <wp:inline distT="0" distB="0" distL="0" distR="0">
          <wp:extent cx="1619250" cy="619125"/>
          <wp:effectExtent t="0" r="0" b="0" l="0"/>
          <wp:docPr id="1" name="JeraLogo" descr="Jera Consulting Logo" title="Jer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0" cy="6191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4A5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jc w:val="center"/>
      <w:outlineLvl w:val="0"/>
    </w:pPr>
    <w:rPr>
      <w:rFonts w:ascii="Arial" w:cs="Arial" w:eastAsia="Arial" w:hAnsi="Arial"/>
      <w:b/>
      <w:bCs/>
      <w:color w:val="1A2F50"/>
      <w:sz w:val="32"/>
      <w:szCs w:val="32"/>
    </w:rPr>
  </w:style>
  <w:style w:type="paragraph" w:styleId="Heading2">
    <w:name w:val="Heading 2"/>
    <w:basedOn w:val="Normal"/>
    <w:next w:val="Normal"/>
    <w:qFormat/>
    <w:pPr>
      <w:pBdr>
        <w:bottom w:val="single" w:color="1B6FFF" w:sz="8" w:space="4"/>
      </w:pBdr>
      <w:spacing w:after="120" w:before="240"/>
      <w:outlineLvl w:val="1"/>
    </w:pPr>
    <w:rPr>
      <w:rFonts w:ascii="Arial" w:cs="Arial" w:eastAsia="Arial" w:hAnsi="Arial"/>
      <w:b/>
      <w:bCs/>
      <w:color w:val="1B6FFF"/>
      <w:sz w:val="24"/>
      <w:szCs w:val="24"/>
    </w:rPr>
  </w:style>
  <w:style w:type="paragraph" w:styleId="Heading3">
    <w:name w:val="Heading 3"/>
    <w:basedOn w:val="Normal"/>
    <w:next w:val="Normal"/>
    <w:qFormat/>
    <w:pPr>
      <w:spacing w:after="80" w:before="160"/>
      <w:outlineLvl w:val="2"/>
    </w:pPr>
    <w:rPr>
      <w:rFonts w:ascii="Arial" w:cs="Arial" w:eastAsia="Arial" w:hAnsi="Arial"/>
      <w:b/>
      <w:bCs/>
      <w:color w:val="1A2F50"/>
      <w:sz w:val="22"/>
      <w:szCs w:val="22"/>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72655ee311d7e1297b04267f2333d1d98c19f2f.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33F60F771545E4FACCF5894FE890AE5" ma:contentTypeVersion="15" ma:contentTypeDescription="Create a new document." ma:contentTypeScope="" ma:versionID="2b5c8ba39e76d01cd5d87bb3fb98a620">
  <xsd:schema xmlns:xsd="http://www.w3.org/2001/XMLSchema" xmlns:xs="http://www.w3.org/2001/XMLSchema" xmlns:p="http://schemas.microsoft.com/office/2006/metadata/properties" xmlns:ns2="f32016ad-11d9-44d0-8f3a-f66ac62173df" xmlns:ns3="5392da11-5a5e-4873-aaa8-5acd18bf386b" targetNamespace="http://schemas.microsoft.com/office/2006/metadata/properties" ma:root="true" ma:fieldsID="6965f6421835919e11ab26e359dd715d" ns2:_="" ns3:_="">
    <xsd:import namespace="f32016ad-11d9-44d0-8f3a-f66ac62173df"/>
    <xsd:import namespace="5392da11-5a5e-4873-aaa8-5acd18bf386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2016ad-11d9-44d0-8f3a-f66ac62173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81e0656-4278-4ea6-a847-5feef180643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392da11-5a5e-4873-aaa8-5acd18bf386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65f4919-6599-4675-964d-ce44e3cd8aec}" ma:internalName="TaxCatchAll" ma:showField="CatchAllData" ma:web="5392da11-5a5e-4873-aaa8-5acd18bf386b">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392da11-5a5e-4873-aaa8-5acd18bf386b" xsi:nil="true"/>
    <lcf76f155ced4ddcb4097134ff3c332f xmlns="f32016ad-11d9-44d0-8f3a-f66ac62173d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22137F9-E423-445C-8F72-856604CD968C}"/>
</file>

<file path=customXml/itemProps2.xml><?xml version="1.0" encoding="utf-8"?>
<ds:datastoreItem xmlns:ds="http://schemas.openxmlformats.org/officeDocument/2006/customXml" ds:itemID="{E09FAA7D-CA4B-4ECC-9CDA-F746C16AF269}"/>
</file>

<file path=customXml/itemProps3.xml><?xml version="1.0" encoding="utf-8"?>
<ds:datastoreItem xmlns:ds="http://schemas.openxmlformats.org/officeDocument/2006/customXml" ds:itemID="{FB200CD5-6250-492F-B46B-7450BDFB40CA}"/>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2026-04-13T13:55:34Z</dcterms:created>
  <dcterms:modified xsi:type="dcterms:W3CDTF">2026-04-13T13:55:34Z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0x010100133F60F771545E4FACCF5894FE890AE5</vt:lpwstr>
  </property>
  <property fmtid="{D5CDD505-2E9C-101B-9397-08002B2CF9AE}" pid="3" name="MediaServiceImageTags">
    <vt:lpwstr/>
  </property>
</Properties>
</file>