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F50" w:val="clear"/>
        <w:tabs>
          <w:tab w:val="right" w:pos="10466"/>
        </w:tabs>
        <w:spacing w:after="120" w:before="0"/>
      </w:pPr>
      <w:r>
        <w:rPr>
          <w:rFonts w:ascii="Arial" w:cs="Arial" w:eastAsia="Arial" w:hAnsi="Arial"/>
          <w:b w:val="false"/>
          <w:bCs w:val="false"/>
          <w:color w:val="A0BADE"/>
          <w:sz w:val="17"/>
          <w:szCs w:val="17"/>
        </w:rPr>
        <w:t xml:space="preserve">Version 1.0  |  April 2026  |  Prepared by Jera Consulting (Pty) Ltd</w:t>
      </w:r>
      <w:r>
        <w:rPr>
          <w:rFonts w:ascii="Arial" w:cs="Arial" w:eastAsia="Arial" w:hAnsi="Arial"/>
          <w:b/>
          <w:bCs/>
          <w:color w:val="1B6FFF"/>
          <w:sz w:val="17"/>
          <w:szCs w:val="17"/>
        </w:rPr>
        <w:t xml:space="preserve">	JERA-POL-HR019</w:t>
      </w:r>
    </w:p>
    <w:p>
      <w:pPr>
        <w:pStyle w:val="Heading1"/>
      </w:pPr>
      <w:r>
        <w:t xml:space="preserve">Retrenchment Policy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Jera Consulting (Pty) Ltd</w:t>
      </w:r>
    </w:p>
    <w:p>
      <w:pPr>
        <w:spacing w:after="20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2617"/>
        <w:gridCol w:w="2616"/>
      </w:tblGrid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 / Role</w:t>
            </w:r>
          </w:p>
        </w:tc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A2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4A5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Retrenchment is the termination of employment by the employer for operational reasons unrelated to the conduct of the employee. This policy establishes a framework for retrenchments in compliance with Section 189 of the Labour Relations Act, 66 of 1995, ensuring fair treatment, transparent selection criteria, and appropriate severance compensation.</w:t>
      </w:r>
    </w:p>
    <w:p>
      <w:pPr>
        <w:pStyle w:val="Heading2"/>
      </w:pPr>
      <w:r>
        <w:t xml:space="preserve">2. Objective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To provide a structured, transparent, and legally compliant process for managing retrenchments, protecting employee interests whilst enabling the company to adapt to operational changes.</w:t>
      </w:r>
    </w:p>
    <w:p>
      <w:pPr>
        <w:pStyle w:val="Heading2"/>
      </w:pPr>
      <w:r>
        <w:t xml:space="preserve">3.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Fairness: Retrenchment decisions based on objective criteria applied consistently.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Transparency: Clear communication of reasons and selection criteria.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Good Faith: Genuine engagement with employees and union representatives.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Consultation: Meaningful consultation prior to retrenchment decisions.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Proportionality: Severance packages reflect tenure and 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Remedies: Access to CCMA for disputes regarding fairness of process.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Compliance: Adherence to LRA s189 procedure and BCEA severance requirements.</w:t>
      </w:r>
    </w:p>
    <w:p>
      <w:pPr>
        <w:pStyle w:val="Heading2"/>
      </w:pPr>
      <w:r>
        <w:t xml:space="preserve">4.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This policy applies to all retrenchments by Jera Consulting,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Redundancies due to business closure or relocation.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Position eliminations due to restructuring.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Workforce reductions due to financial constraints.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Technological displacement.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This policy does not apply to dismissals for misconduct or incapacity.</w:t>
      </w:r>
    </w:p>
    <w:p>
      <w:pPr>
        <w:pStyle w:val="Heading2"/>
      </w:pPr>
      <w:r>
        <w:t xml:space="preserve">5. Applicable Legislation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Retrenchments governed by: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Labour Relations Act, 66 of 1995 (LRA) - Section 189 (large-scale retrenchments) and Section 189A.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Basic Conditions of Employment Act, 75 of 1997 (BCEA) - Section 41 (severance pay).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Employment Equity Act, 55 of 1998 (EEA) - protection against discriminatory selection.</w:t>
      </w:r>
    </w:p>
    <w:p>
      <w:pPr>
        <w:pStyle w:val="Heading2"/>
      </w:pPr>
      <w:r>
        <w:t xml:space="preserve">6. Large-Scale Retrenchment (Section 189A)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Section 189A applies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Employer employs 50 or more employees, 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Employer contemplates retrenching 10 or more employees, 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Employer contemplates retrenching 10% of the workforce (whichever is lower).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In large-scale retrenchments, enhanced consultation procedures and CCMA facilitation requirements apply.</w:t>
      </w:r>
    </w:p>
    <w:p>
      <w:pPr>
        <w:pStyle w:val="Heading2"/>
      </w:pPr>
      <w:r>
        <w:t xml:space="preserve">7. Alternatives to Retrenchment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Before resorting to retrenchment, the employer must consider reasonable alternatives to reduce workforce,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Voluntary severance packages (incentivised).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Early retirement packages.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Reduction in working hours.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Temporary leave of absence.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Internal transfers or secondment.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Training and upskilling for alternative positions.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Attrition (non-replacement of resignations).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Redeployment to other divisions or entities.</w:t>
      </w:r>
    </w:p>
    <w:p>
      <w:pPr>
        <w:pStyle w:val="Heading2"/>
      </w:pPr>
      <w:r>
        <w:t xml:space="preserve">8. Selection Criteria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Employees selected for retrenchment on objective criteria, typically:</w:t>
      </w:r>
    </w:p>
    <w:p>
      <w:pPr>
        <w:pStyle w:val="Heading3"/>
      </w:pPr>
      <w:r>
        <w:t xml:space="preserve">8.1 Last In, First Out (LIFO)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Default selection based on tenure (length of service). Most recent hires retrenched first.</w:t>
      </w:r>
    </w:p>
    <w:p>
      <w:pPr>
        <w:pStyle w:val="Heading3"/>
      </w:pPr>
      <w:r>
        <w:t xml:space="preserve">8.2 Alternative Justified Criteria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If LIFO inappropriate, employer may apply alternative criteria if justified: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Performance ratings (objective, documented).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Skills and qualifications (relevance to retained positions).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Operational requirements (business-critical roles).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Restructuring objectives.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Alternative criteria must be objective, transparent, and applied consistently.</w:t>
      </w:r>
    </w:p>
    <w:p>
      <w:pPr>
        <w:pStyle w:val="Heading3"/>
      </w:pPr>
      <w:r>
        <w:t xml:space="preserve">8.3 Bumping and Redeployment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Rather than retrenching, employee may be bumped to a lower-level position if qualified and able to perform. Salary protected or managed through agreement.</w:t>
      </w:r>
    </w:p>
    <w:p>
      <w:pPr>
        <w:pStyle w:val="Heading2"/>
      </w:pPr>
      <w:r>
        <w:t xml:space="preserve">9. Retrenchment Procedure (Section 189 LRA)</w:t>
      </w:r>
    </w:p>
    <w:p>
      <w:pPr>
        <w:pStyle w:val="Heading3"/>
      </w:pPr>
      <w:r>
        <w:t xml:space="preserve">9.1 Notice of Intention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Employer provides written notice of intention to retrench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Affected employees.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Union representatives (if union is party to collective agreement).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CCMA (if large-scale retrenchment).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Notice must state: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Reason for retrenchment.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Scope (numbers, categories of employees).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Proposed timeline.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Invitation to consult.</w:t>
      </w:r>
    </w:p>
    <w:p>
      <w:pPr>
        <w:pStyle w:val="Heading3"/>
      </w:pPr>
      <w:r>
        <w:t xml:space="preserve">9.2 Consultation Phase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Minimum 30-day consultation period begins from notification.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Consultation topics include: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Reason for retrenchment.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Scope and timeline.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Selection criteria.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Severance packages and details.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Retention of key staff.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Re-employment prospects.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Grievance or dispute resolution mechanisms.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All consultation meetings documented with minutes and attendance recorded.</w:t>
      </w:r>
    </w:p>
    <w:p>
      <w:pPr>
        <w:pStyle w:val="Heading3"/>
      </w:pPr>
      <w:r>
        <w:t xml:space="preserve">9.3 Large-Scale Retrenchment - CCMA Facilitation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If Section 189A applies, CCMA facilitator appointed to mediate process.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CCMA notified within 30 days of consultation commencement.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Facilitated meeting(s) held to attempt consensual agreement.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If agreement reached, severance and procedure confirmed.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If no agreement, employer may proceed with retrenchment unilaterally, subject to challenge.</w:t>
      </w:r>
    </w:p>
    <w:p>
      <w:pPr>
        <w:pStyle w:val="Heading3"/>
      </w:pPr>
      <w:r>
        <w:t xml:space="preserve">9.4 Selection and Notification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Following consultation, affected employees notified in writing: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Confirmation of retrenchment.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Reason and effective date.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Severance package details.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Final payment arrangements.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Continuation of benefits.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Reference provision.</w:t>
      </w:r>
    </w:p>
    <w:p>
      <w:pPr>
        <w:pStyle w:val="Heading3"/>
      </w:pPr>
      <w:r>
        <w:t xml:space="preserve">9.5 Final Payment and Severance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Final payment within 7 days of termination (BCEA s33):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Final salary accrued to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Accrued leave (annual and sick).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Severance pay: Minimum 1 week per completed year of service (BCEA s41).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Enhanced severance packages (company policy): 2 weeks per year of 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All deductions (tax, UIF, etc.) applied.</w:t>
      </w:r>
    </w:p>
    <w:p>
      <w:pPr>
        <w:pStyle w:val="Heading2"/>
      </w:pPr>
      <w:r>
        <w:t xml:space="preserve">10. Severance Package Options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Employer offers structured severance packages:</w:t>
      </w:r>
    </w:p>
    <w:p>
      <w:pPr>
        <w:pStyle w:val="Heading3"/>
      </w:pPr>
      <w:r>
        <w:t xml:space="preserve">10.1 Statutory Minimum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1 week per completed year of service (BCEA s41).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Example: 5 years service = 5 weeks' gross salary.</w:t>
      </w:r>
    </w:p>
    <w:p>
      <w:pPr>
        <w:pStyle w:val="Heading3"/>
      </w:pPr>
      <w:r>
        <w:t xml:space="preserve">10.2 Company Enhanced Package (Discretionary)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2 weeks per completed year of service (voluntary severance incentive).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Example: 5 years service = 10 weeks' gross salary.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Plus outplacement services (resume, interview coaching, job search support).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Plus extended medical aid (e.g., 2 months post-termination).</w:t>
      </w:r>
    </w:p>
    <w:p>
      <w:pPr>
        <w:pStyle w:val="Heading3"/>
      </w:pPr>
      <w:r>
        <w:t xml:space="preserve">10.3 Voluntary Severance (If Offered Pre-Selection)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2-3 weeks per year service (enhanced to encourage voluntary departures).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May reduce need for involuntary retrenchments.</w:t>
      </w:r>
    </w:p>
    <w:p>
      <w:pPr>
        <w:pStyle w:val="Heading3"/>
      </w:pPr>
      <w:r>
        <w:t xml:space="preserve">10.4 Treatment of Leave Encashment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Annual leave accrued: Paid in full at final pay.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Sick leave: Paid per company policy (typically not paid unless policy permits).</w:t>
      </w:r>
    </w:p>
    <w:p>
      <w:pPr>
        <w:pStyle w:val="Heading2"/>
      </w:pPr>
      <w:r>
        <w:t xml:space="preserve">11. Protection of Selected Employees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Employees identified for retention confirmed in writing,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Confirmation of continued employment.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Position and reporting 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Salary and benefits.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Expected future changes (if any).</w:t>
      </w:r>
    </w:p>
    <w:p>
      <w:pPr>
        <w:pStyle w:val="Heading2"/>
      </w:pPr>
      <w:r>
        <w:t xml:space="preserve">12. Re-Employment Priority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Retrenched employees placed on re-employment priority list: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If suitable positions become available within 12 months, retrenched employee offered position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Notification made to retrenched employee of vacant positions.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Preference given regardless of other recruitment processes.</w:t>
      </w:r>
    </w:p>
    <w:p>
      <w:pPr>
        <w:pStyle w:val="Heading2"/>
      </w:pPr>
      <w:r>
        <w:t xml:space="preserve">13. Transfer of Contracts (Section 197 LRA)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If retrenchment relates to business transfer, sale, or insolvency: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Contracts of employment may transfer to new employer.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New employer liable for accrued benefits if transfer occurs.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Employee consent not required for contract transfer.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Continuity of service recognised for severance and benefits.</w:t>
      </w:r>
    </w:p>
    <w:p>
      <w:pPr>
        <w:pStyle w:val="Heading2"/>
      </w:pPr>
      <w:r>
        <w:t xml:space="preserve">14. Return of Property and Exit Interview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Upon retrenchment, employee required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Return all company property (equipment, access cards, keys,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Participate in exit interview (feedback and documentation).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Sign acknowledgement of final payment and severance.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Confirm post-employment obligations (confidentiality, restraint).</w:t>
      </w:r>
    </w:p>
    <w:p>
      <w:pPr>
        <w:pStyle w:val="Heading2"/>
      </w:pPr>
      <w:r>
        <w:t xml:space="preserve">15. Certificate of 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Employer issues Certificate of Service (BCEA s39) to retrenched employee,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Employee name and 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Position and tenure.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Reason for termination: 'Retrenchment - operational reasons'.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Date of termination.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Final salary paid.</w:t>
      </w:r>
    </w:p>
    <w:p>
      <w:pPr>
        <w:pStyle w:val="Heading2"/>
      </w:pPr>
      <w:r>
        <w:t xml:space="preserve">16. CCMA Disputes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Retrenched employees may challenge fairness of retrenchment at the CCMA within 30 days if they believe: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Reason for retrenchment was unfair.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Procedure was not followed fairly.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Selection criteria applied unfairly or discriminatorily.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Severance package inadequate.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CCMA may award compensation, reinstatement, or enhanced severance.</w:t>
      </w:r>
    </w:p>
    <w:p>
      <w:pPr>
        <w:pStyle w:val="Heading2"/>
      </w:pPr>
      <w:r>
        <w:t xml:space="preserve">17. Fairness of Retrenchment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Retrenchment is fair if: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Genuine operational requirements justify the retrenchment.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Reasonable steps taken to avoid or minimise retrenchment.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Fair and transparent selection criteria applied.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Proper consultation conducted.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Fair and reasonable severance offered.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Affected employees treated with dignity and respect.</w:t>
      </w:r>
    </w:p>
    <w:p>
      <w:pPr>
        <w:pStyle w:val="Heading2"/>
      </w:pPr>
      <w:r>
        <w:t xml:space="preserve">18. Record Keeping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Employer maintains records of: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Notice to employees and unions.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Consultation minutes and attendance.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Selection criteria and application thereof.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Final payments and severance calculations.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Communications to CCMA (if applicable).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Records retained for 3 years post-retrenchment per POPIA requirements.</w:t>
      </w:r>
    </w:p>
    <w:p>
      <w:pPr>
        <w:spacing w:after="0" w:before="300"/>
      </w:pPr>
    </w:p>
    <w:p>
      <w:pPr>
        <w:pStyle w:val="Heading2"/>
      </w:pPr>
      <w:r>
        <w:t xml:space="preserve">Sign-Off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A4A5A"/>
          <w:sz w:val="22"/>
          <w:szCs w:val="22"/>
        </w:rPr>
        <w:t xml:space="preserve">This policy has been reviewed and approved by the undersigned.</w:t>
      </w:r>
    </w:p>
    <w:p>
      <w:pPr>
        <w:spacing w:after="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7"/>
        <w:gridCol w:w="3116"/>
        <w:gridCol w:w="2117"/>
      </w:tblGrid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1B6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6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3116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  <w:tc>
          <w:tcPr>
            <w:tcW w:type="dxa" w:w="2117"/>
            <w:tcBorders>
              <w:top w:val="single" w:color="DDE1EA" w:sz="4"/>
              <w:left w:val="single" w:color="DDE1EA" w:sz="4"/>
              <w:bottom w:val="single" w:color="DDE1EA" w:sz="4"/>
              <w:right w:val="single" w:color="DDE1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4A5A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Communication and Amendments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Managers and team leaders must communicate this policy to all employees reporting to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This policy may be amended from time to time without prior consultation or notice, subject to applicable legislation.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A4A5A"/>
          <w:sz w:val="22"/>
          <w:szCs w:val="22"/>
        </w:rPr>
        <w:t xml:space="preserve">The most current version of this policy will be made available on the company intranet or shared document repository.</w:t>
      </w:r>
    </w:p>
    <w:sectPr>
      <w:headerReference w:type="default" r:id="rId7"/>
      <w:footerReference w:type="default" r:id="rId8"/>
      <w:pgSz w:w="11906" w:h="16838" w:orient="portrait"/>
      <w:pgMar w:top="720" w:right="720" w:bottom="1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6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800"/>
      <w:gridCol w:w="3666"/>
    </w:tblGrid>
    <w:tr>
      <w:tc>
        <w:tcPr>
          <w:tcW w:type="dxa" w:w="6800"/>
          <w:tcBorders>
            <w:top w:val="single" w:color="DDE1EA" w:sz="4"/>
            <w:left w:val="none"/>
            <w:bottom w:val="none"/>
            <w:right w:val="none"/>
          </w:tcBorders>
          <w:tcMar>
            <w:top w:type="dxa" w:w="80"/>
            <w:left w:type="dxa" w:w="0"/>
            <w:bottom w:type="dxa" w:w="0"/>
            <w:right w:type="dxa" w:w="120"/>
          </w:tcMar>
        </w:tcPr>
        <w:p>
          <w:pPr>
            <w:spacing w:after="0" w:before="80"/>
          </w:pPr>
          <w:r>
            <w:rPr>
              <w:rFonts w:ascii="Arial" w:cs="Arial" w:eastAsia="Arial" w:hAnsi="Arial"/>
              <w:color w:val="8A98A8"/>
              <w:sz w:val="14"/>
              <w:szCs w:val="14"/>
            </w:rPr>
            <w:t xml:space="preserve">256 Rondebult Rd, Parkdene, Boksburg, 1459, Gauteng  |  Tel: +27(0)11-913-3320</w:t>
          </w:r>
        </w:p>
        <w:p>
          <w:pPr>
            <w:spacing w:after="0" w:before="20"/>
          </w:pPr>
          <w:r>
            <w:rPr>
              <w:rFonts w:ascii="Arial" w:cs="Arial" w:eastAsia="Arial" w:hAnsi="Arial"/>
              <w:color w:val="8A98A8"/>
              <w:sz w:val="14"/>
              <w:szCs w:val="14"/>
            </w:rPr>
            <w:t xml:space="preserve">Reg No: 1988/007393/07  |  VAT: 4210112126  |  Est. 1988</w:t>
          </w:r>
        </w:p>
        <w:p>
          <w:pPr>
            <w:spacing w:after="0" w:before="20"/>
          </w:pPr>
          <w:r>
            <w:rPr>
              <w:rFonts w:ascii="Arial" w:cs="Arial" w:eastAsia="Arial" w:hAnsi="Arial"/>
              <w:color w:val="8A98A8"/>
              <w:sz w:val="14"/>
              <w:szCs w:val="14"/>
            </w:rPr>
            <w:t xml:space="preserve">Directors: R.A. de Kock (Managing), C. Haasbroek</w:t>
          </w:r>
        </w:p>
      </w:tc>
      <w:tc>
        <w:tcPr>
          <w:tcW w:type="dxa" w:w="3666"/>
          <w:tcBorders>
            <w:top w:val="single" w:color="DDE1EA" w:sz="4"/>
            <w:left w:val="none"/>
            <w:bottom w:val="none"/>
            <w:right w:val="none"/>
          </w:tcBorders>
          <w:tcMar>
            <w:top w:type="dxa" w:w="80"/>
            <w:left w:type="dxa" w:w="12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1B6FFF"/>
              <w:sz w:val="14"/>
              <w:szCs w:val="14"/>
            </w:rPr>
            <w:t xml:space="preserve">jera.co.za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FFF" w:sz="16" w:space="4"/>
      </w:pBdr>
      <w:spacing w:after="0"/>
      <w:jc w:val="left"/>
    </w:pPr>
    <w:r>
      <w:drawing>
        <wp:inline distT="0" distB="0" distL="0" distR="0">
          <wp:extent cx="1619250" cy="619125"/>
          <wp:effectExtent t="0" r="0" b="0" l="0"/>
          <wp:docPr id="1" name="JeraLogo" descr="Jera Consulting Logo" title="Je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A5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jc w:val="center"/>
      <w:outlineLvl w:val="0"/>
    </w:pPr>
    <w:rPr>
      <w:rFonts w:ascii="Arial" w:cs="Arial" w:eastAsia="Arial" w:hAnsi="Arial"/>
      <w:b/>
      <w:bCs/>
      <w:color w:val="1A2F50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B6FFF" w:sz="8" w:space="4"/>
      </w:pBdr>
      <w:spacing w:after="120" w:before="240"/>
      <w:outlineLvl w:val="1"/>
    </w:pPr>
    <w:rPr>
      <w:rFonts w:ascii="Arial" w:cs="Arial" w:eastAsia="Arial" w:hAnsi="Arial"/>
      <w:b/>
      <w:bCs/>
      <w:color w:val="1B6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2F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2655ee311d7e1297b04267f2333d1d98c19f2f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F60F771545E4FACCF5894FE890AE5" ma:contentTypeVersion="15" ma:contentTypeDescription="Create a new document." ma:contentTypeScope="" ma:versionID="2b5c8ba39e76d01cd5d87bb3fb98a620">
  <xsd:schema xmlns:xsd="http://www.w3.org/2001/XMLSchema" xmlns:xs="http://www.w3.org/2001/XMLSchema" xmlns:p="http://schemas.microsoft.com/office/2006/metadata/properties" xmlns:ns2="f32016ad-11d9-44d0-8f3a-f66ac62173df" xmlns:ns3="5392da11-5a5e-4873-aaa8-5acd18bf386b" targetNamespace="http://schemas.microsoft.com/office/2006/metadata/properties" ma:root="true" ma:fieldsID="6965f6421835919e11ab26e359dd715d" ns2:_="" ns3:_="">
    <xsd:import namespace="f32016ad-11d9-44d0-8f3a-f66ac62173df"/>
    <xsd:import namespace="5392da11-5a5e-4873-aaa8-5acd18bf3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16ad-11d9-44d0-8f3a-f66ac6217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e0656-4278-4ea6-a847-5feef18064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da11-5a5e-4873-aaa8-5acd18bf38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5f4919-6599-4675-964d-ce44e3cd8aec}" ma:internalName="TaxCatchAll" ma:showField="CatchAllData" ma:web="5392da11-5a5e-4873-aaa8-5acd18bf3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da11-5a5e-4873-aaa8-5acd18bf386b" xsi:nil="true"/>
    <lcf76f155ced4ddcb4097134ff3c332f xmlns="f32016ad-11d9-44d0-8f3a-f66ac62173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65D879-8A20-4A0F-B553-9C441DD08C5E}"/>
</file>

<file path=customXml/itemProps2.xml><?xml version="1.0" encoding="utf-8"?>
<ds:datastoreItem xmlns:ds="http://schemas.openxmlformats.org/officeDocument/2006/customXml" ds:itemID="{E8013FA8-740D-4D79-A0E5-E5A450E765D5}"/>
</file>

<file path=customXml/itemProps3.xml><?xml version="1.0" encoding="utf-8"?>
<ds:datastoreItem xmlns:ds="http://schemas.openxmlformats.org/officeDocument/2006/customXml" ds:itemID="{7F0438AA-94C5-4A0B-B341-039E5CA558E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2026-04-13T13:55:41Z</dcterms:created>
  <dcterms:modified xsi:type="dcterms:W3CDTF">2026-04-13T13:55:41Z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0x010100133F60F771545E4FACCF5894FE890AE5</vt:lpwstr>
  </property>
  <property fmtid="{D5CDD505-2E9C-101B-9397-08002B2CF9AE}" pid="3" name="MediaServiceImageTags">
    <vt:lpwstr/>
  </property>
</Properties>
</file>