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สารบัญ"/>
      </w:pPr>
      <w:r>
        <w:t>สารบัญ</w:t>
      </w:r>
    </w:p>
    <w:p>
      <w:pPr>
        <w:pStyle w:val="สารบัญ-ชื่อ"/>
      </w:pPr>
      <w:r>
        <w:t>รัฐธรรมนูญแห่งราชอาณาจักรไทย พุทธศักราช ๒๕๒๕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814"/>
        <w:gridCol w:w="1814"/>
      </w:tblGrid>
      <w:tr>
        <w:trPr>
          <w:tblHeader/>
        </w:trPr>
        <w:tc>
          <w:tcPr>
            <w:tcW w:type="dxa" w:w="5443"/>
            <w:shd w:val="clear" w:color="auto" w:fill="2C3E50"/>
            <w:vAlign w:val="center"/>
          </w:tcPr>
          <w:p>
            <w:pPr>
              <w:pStyle w:val="ตาราง-กลาง"/>
            </w:pPr>
            <w:r>
              <w:rPr>
                <w:b/>
                <w:bCs/>
                <w:color w:val="FFFFFF"/>
              </w:rPr>
              <w:t>หมวด</w:t>
            </w:r>
          </w:p>
        </w:tc>
        <w:tc>
          <w:tcPr>
            <w:tcW w:type="dxa" w:w="1814"/>
            <w:shd w:val="clear" w:color="auto" w:fill="2C3E50"/>
            <w:vAlign w:val="center"/>
          </w:tcPr>
          <w:p>
            <w:pPr>
              <w:pStyle w:val="ตาราง-กลาง"/>
            </w:pPr>
            <w:r>
              <w:rPr>
                <w:b/>
                <w:bCs/>
                <w:color w:val="FFFFFF"/>
              </w:rPr>
              <w:t>มาตราแรก</w:t>
            </w:r>
          </w:p>
        </w:tc>
        <w:tc>
          <w:tcPr>
            <w:tcW w:type="dxa" w:w="1814"/>
            <w:shd w:val="clear" w:color="auto" w:fill="2C3E50"/>
            <w:vAlign w:val="center"/>
          </w:tcPr>
          <w:p>
            <w:pPr>
              <w:pStyle w:val="ตาราง-กลาง"/>
            </w:pPr>
            <w:r>
              <w:rPr>
                <w:b/>
                <w:bCs/>
                <w:color w:val="FFFFFF"/>
              </w:rPr>
              <w:t>มาตราท้าย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 บททั่วไป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 พระมหากษัตริย์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๒๕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๓ สิทธิและเสรีภาพของชนชาวไทย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๒๖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๖๖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๔ หน้าที่ของชนชาวไทย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๖๗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๗๑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๕ แนวนโยบายพื้นฐานแห่งรัฐ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๗๒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๙๐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๖ รัฐสภา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๙๑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๑๘๗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๗ คณะรัฐมนตรี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๑๘๘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๒๑๙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๘ ศาล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๒๒๐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๒๖๘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๙ การปกครองส่วนท้องถิ่น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๒๖๙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๒๗๗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๑๐ การตรวจสอบการใช้อำนาจรัฐ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๒๗๘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๒๙๓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๑๑ การตรวจเงินแผ่นดิน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๒๙๔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๒๙๔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๑๒ การแก้ไขเพิ่มเติมรัฐธรรมนูญและการร่างรัฐธรรมนูญ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๒๙๕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๒๙๖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๑๓ การขัดกันแห่งผลประโยชน์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๒๙๗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๒๙๙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๑๔ การปฏิรูปประเทศ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๓๐๐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๓๐๖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๑๕ องค์กรอัยการ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๓๐๗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๓๑๐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๑๖ องค์กรอิสระ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๓๑๑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๓๓๗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๑๗ สิทธิชุมชนและการมีส่วนร่วมภาคประชาชน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๓๓๘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๓๗๗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๑๘ สิทธิแรงงานและการคุ้มครองผู้ใช้แรงงาน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๓๗๘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๔๑๗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๑๙ สิทธิด้านสิ่งแวดล้อมและทรัพยากรธรรมชาติ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๔๑๘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๔๕๗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๒๐ เทคโนโลยี นวัตกรรม และเศรษฐกิจดิจิทัล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๔๕๘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๔๙๗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๒๑ ความมั่นคงทางอาหารและการเกษตร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๔๙๘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๕๓๗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๒๒ สิทธิเด็ก เยาวชน ผู้สูงอายุ และผู้พิการ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๕๓๘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๕๗๗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๒๓ การศึกษา วิทยาศาสตร์ และวิจัย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๕๗๘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๖๑๗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๒๔ สาธารณสุขและระบบสุขภาพ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๖๑๘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๖๕๗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๒๕ การต่อต้านการทุจริตและธรรมาภิบาล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๖๕๘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๖๙๗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๒๖ สื่อมวลชน เสรีภาพสื่อ และข้อมูลข่าวสาร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๖๙๘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๗๓๗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๒๗ การคลัง งบประมาณ และเศรษฐกิจภาคประชาชน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๗๓๘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๗๗๗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๒๘ กองทัพ ความมั่นคง และการควบคุมโดยพลเรือน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๗๗๘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๘๑๗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๒๙ ความสัมพันธ์ระหว่างประเทศและสนธิสัญญา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๘๑๘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๘๕๖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๓๐ สิทธิวัฒนธรรม ภาษา และชาติพันธุ์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๘๕๗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๘๙๕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๓๑ ที่อยู่อาศัยและการพัฒนาเมือง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๘๙๖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๙๓๔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๓๒ พลังงาน สาธารณูปโภค และการขนส่ง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๙๓๕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๙๗๓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๓๓ กีฬา นันทนาการ และการท่องเที่ยว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๙๗๔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๑๐๑๒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๓๔ สถานการณ์ฉุกเฉินและภัยพิบัติ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๑๐๑๓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๑๐๕๑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หมวด ๓๕ ความยุติธรรมในระยะเปลี่ยนผ่าน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๑๐๕๒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๑๐๙๐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 ๓๖ บทลงโทษและมาตรการบังคับตามรัฐธรรมนูญ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๑๐๙๑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๑๑๒๙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EBF5FB"/>
            <w:vAlign w:val="center"/>
          </w:tcPr>
          <w:p>
            <w:pPr>
              <w:pStyle w:val="ตาราง"/>
            </w:pPr>
            <w:r>
              <w:t>บทเฉพาะกาล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๑๑๓๐</w:t>
            </w:r>
          </w:p>
        </w:tc>
        <w:tc>
          <w:tcPr>
            <w:tcW w:type="dxa" w:w="1814"/>
            <w:shd w:val="clear" w:color="auto" w:fill="EBF5FB"/>
            <w:vAlign w:val="center"/>
          </w:tcPr>
          <w:p>
            <w:pPr>
              <w:pStyle w:val="ตาราง-กลาง"/>
            </w:pPr>
            <w:r>
              <w:t>๑๑๕๒</w:t>
            </w:r>
          </w:p>
        </w:tc>
      </w:tr>
      <w:tr>
        <w:trPr>
          <w:cantSplit/>
        </w:trPr>
        <w:tc>
          <w:tcPr>
            <w:tcW w:type="dxa" w:w="5443"/>
            <w:shd w:val="clear" w:color="auto" w:fill="FFFFFF"/>
            <w:vAlign w:val="center"/>
          </w:tcPr>
          <w:p>
            <w:pPr>
              <w:pStyle w:val="ตาราง"/>
            </w:pPr>
            <w:r>
              <w:t>หมวดพิเศษ อำนาจสูงสุดพิทักษ์ประชาชน (The Supreme People's Power)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๑๑๕๓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pStyle w:val="ตาราง-กลาง"/>
            </w:pPr>
            <w:r>
              <w:t>๑๑๖๐</w:t>
            </w:r>
          </w:p>
        </w:tc>
      </w:tr>
    </w:tbl>
    <w:p>
      <w:pPr>
        <w:pStyle w:val="สรุป"/>
      </w:pPr>
      <w:r>
        <w:t>รวมทั้งสิ้น ๓๘ หมวด  ๑๑๖๐ มาตรา</w:t>
      </w:r>
    </w:p>
    <w:sectPr w:rsidR="00FC693F" w:rsidRPr="0006063C" w:rsidSect="00034616">
      <w:headerReference w:type="default" r:id="rId9"/>
      <w:pgSz w:w="11906" w:h="16838"/>
      <w:pgMar w:top="1417" w:right="1134" w:bottom="1134" w:left="1701" w:header="709" w:footer="567" w:gutter="0"/>
      <w:cols w:space="720"/>
      <w:docGrid w:linePitch="360"/>
      <w:pgNumType w:fmt="thaiNumbe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หัวกระดาษ"/>
      <w:jc w:val="center"/>
    </w:pPr>
    <w:r>
      <w:t>รัฐธรรมนูญแห่งราชอาณาจักรไทย พุทธศักราช ๒๕๒๕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eastAsia="TH Sarabun New" w:cs="TH Sarabun New"/>
        <w:noProof/>
        <w:sz w:val="32"/>
        <w:szCs w:val="32"/>
        <w:lang w:val="th-TH" w:eastAsia="th-TH" w:bidi="th-TH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TH Sarabun New" w:hAnsi="TH Sarabun New" w:eastAsia="TH Sarabun New" w:cs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หัวกระดาษ">
    <w:name w:val="หัวกระดาษ"/>
    <w:basedOn w:val="Normal"/>
    <w:qFormat/>
    <w:pPr>
      <w:keepNext w:val="0"/>
      <w:pageBreakBefore w:val="0"/>
      <w:tabs>
        <w:tab w:pos="4535" w:val="center"/>
        <w:tab w:pos="9071" w:val="right"/>
      </w:tabs>
      <w:spacing w:before="0" w:after="0"/>
      <w:pBdr>
        <w:bottom w:val="single" w:sz="6" w:space="4" w:color="000000"/>
      </w:pBdr>
    </w:pPr>
    <w:rPr>
      <w:rFonts w:ascii="TH Sarabun New" w:hAnsi="TH Sarabun New" w:eastAsia="TH Sarabun New" w:cs="TH Sarabun New"/>
      <w:color w:val="000000"/>
      <w:sz w:val="24"/>
      <w:szCs w:val="24"/>
    </w:rPr>
  </w:style>
  <w:style w:type="paragraph" w:customStyle="1" w:styleId="สารบัญ">
    <w:name w:val="สารบัญ"/>
    <w:basedOn w:val="Normal"/>
    <w:qFormat/>
    <w:pPr>
      <w:keepNext w:val="0"/>
      <w:pageBreakBefore w:val="0"/>
      <w:spacing w:before="240" w:after="0"/>
      <w:jc w:val="center"/>
    </w:pPr>
    <w:rPr>
      <w:rFonts w:ascii="TH Sarabun New" w:hAnsi="TH Sarabun New" w:eastAsia="TH Sarabun New" w:cs="TH Sarabun New"/>
      <w:b/>
      <w:bCs/>
      <w:color w:val="000000"/>
      <w:sz w:val="52"/>
      <w:szCs w:val="52"/>
    </w:rPr>
  </w:style>
  <w:style w:type="paragraph" w:customStyle="1" w:styleId="สารบัญ-ชื่อ">
    <w:name w:val="สารบัญ-ชื่อ"/>
    <w:basedOn w:val="Normal"/>
    <w:qFormat/>
    <w:pPr>
      <w:keepNext w:val="0"/>
      <w:pageBreakBefore w:val="0"/>
      <w:spacing w:before="0" w:after="360"/>
      <w:jc w:val="center"/>
    </w:pPr>
    <w:rPr>
      <w:rFonts w:ascii="TH Sarabun New" w:hAnsi="TH Sarabun New" w:eastAsia="TH Sarabun New" w:cs="TH Sarabun New"/>
      <w:b/>
      <w:bCs/>
      <w:color w:val="000000"/>
      <w:sz w:val="36"/>
      <w:szCs w:val="36"/>
    </w:rPr>
  </w:style>
  <w:style w:type="paragraph" w:customStyle="1" w:styleId="ตาราง">
    <w:name w:val="ตาราง"/>
    <w:basedOn w:val="Normal"/>
    <w:qFormat/>
    <w:pPr>
      <w:keepNext w:val="0"/>
      <w:pageBreakBefore w:val="0"/>
      <w:spacing w:before="0" w:after="0"/>
    </w:pPr>
    <w:rPr>
      <w:rFonts w:ascii="TH Sarabun New" w:hAnsi="TH Sarabun New" w:eastAsia="TH Sarabun New" w:cs="TH Sarabun New"/>
      <w:color w:val="000000"/>
      <w:sz w:val="30"/>
      <w:szCs w:val="30"/>
    </w:rPr>
  </w:style>
  <w:style w:type="paragraph" w:customStyle="1" w:styleId="ตาราง-กลาง">
    <w:name w:val="ตาราง-กลาง"/>
    <w:basedOn w:val="Normal"/>
    <w:qFormat/>
    <w:pPr>
      <w:keepNext w:val="0"/>
      <w:pageBreakBefore w:val="0"/>
      <w:spacing w:before="0" w:after="0"/>
      <w:jc w:val="center"/>
    </w:pPr>
    <w:rPr>
      <w:rFonts w:ascii="TH Sarabun New" w:hAnsi="TH Sarabun New" w:eastAsia="TH Sarabun New" w:cs="TH Sarabun New"/>
      <w:color w:val="000000"/>
      <w:sz w:val="30"/>
      <w:szCs w:val="30"/>
    </w:rPr>
  </w:style>
  <w:style w:type="paragraph" w:customStyle="1" w:styleId="สรุป">
    <w:name w:val="สรุป"/>
    <w:basedOn w:val="Normal"/>
    <w:qFormat/>
    <w:pPr>
      <w:keepNext w:val="0"/>
      <w:pageBreakBefore w:val="0"/>
      <w:spacing w:before="240" w:after="0"/>
      <w:jc w:val="right"/>
    </w:pPr>
    <w:rPr>
      <w:rFonts w:ascii="TH Sarabun New" w:hAnsi="TH Sarabun New" w:eastAsia="TH Sarabun New" w:cs="TH Sarabun New"/>
      <w:b/>
      <w:bCs/>
      <w:color w:val="000000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รัฐธรรมนูญแห่งราชอาณาจักรไทย พุทธศักราช ๒๕๒๕</dc:title>
  <dc:subject/>
  <dc:creator>รัฐธรรมนุญจำลอง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