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สารบัญ"/>
      </w:pPr>
      <w:r>
        <w:t>สารบัญ</w:t>
      </w:r>
    </w:p>
    <w:p>
      <w:pPr>
        <w:pStyle w:val="สารบัญ-ชื่อ"/>
      </w:pPr>
      <w:r>
        <w:t>รัฐธรรมนูญแห่งราชอาณาจักรไทย พุทธศักราช ๒๕๒๕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43"/>
        <w:gridCol w:w="1814"/>
        <w:gridCol w:w="1814"/>
      </w:tblGrid>
      <w:tr>
        <w:trPr>
          <w:tblHeader/>
        </w:trPr>
        <w:tc>
          <w:tcPr>
            <w:tcW w:type="dxa" w:w="5443"/>
            <w:shd w:val="clear" w:color="auto" w:fill="2C3E50"/>
            <w:vAlign w:val="center"/>
          </w:tcPr>
          <w:p>
            <w:pPr>
              <w:pStyle w:val="ตาราง-กลาง"/>
            </w:pPr>
            <w:r>
              <w:rPr>
                <w:b/>
                <w:bCs/>
                <w:color w:val="FFFFFF"/>
              </w:rPr>
              <w:t>หมวด</w:t>
            </w:r>
          </w:p>
        </w:tc>
        <w:tc>
          <w:tcPr>
            <w:tcW w:type="dxa" w:w="1814"/>
            <w:shd w:val="clear" w:color="auto" w:fill="2C3E50"/>
            <w:vAlign w:val="center"/>
          </w:tcPr>
          <w:p>
            <w:pPr>
              <w:pStyle w:val="ตาราง-กลาง"/>
            </w:pPr>
            <w:r>
              <w:rPr>
                <w:b/>
                <w:bCs/>
                <w:color w:val="FFFFFF"/>
              </w:rPr>
              <w:t>มาตราแรก</w:t>
            </w:r>
          </w:p>
        </w:tc>
        <w:tc>
          <w:tcPr>
            <w:tcW w:type="dxa" w:w="1814"/>
            <w:shd w:val="clear" w:color="auto" w:fill="2C3E50"/>
            <w:vAlign w:val="center"/>
          </w:tcPr>
          <w:p>
            <w:pPr>
              <w:pStyle w:val="ตาราง-กลาง"/>
            </w:pPr>
            <w:r>
              <w:rPr>
                <w:b/>
                <w:bCs/>
                <w:color w:val="FFFFFF"/>
              </w:rPr>
              <w:t>มาตราท้าย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 บททั่วไป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 พระมหากษัตริย์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๒๕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๓ สิทธิและเสรีภาพของชนชาวไทย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๒๖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๖๖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๔ หน้าที่ของชนชาวไทย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๖๗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๗๑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๕ แนวนโยบายพื้นฐานแห่งรัฐ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๗๒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๙๐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๖ รัฐสภา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๙๑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๑๘๗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๗ คณะรัฐมนตรี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๑๘๘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๒๑๙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๘ ศาล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๒๒๐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๒๖๘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๙ การปกครองส่วนท้องถิ่น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๒๖๙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๒๗๗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๑๐ การตรวจสอบการใช้อำนาจรัฐ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๒๗๘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๒๙๓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๑๑ การตรวจเงินแผ่นดิน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๒๙๔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๒๙๔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๑๒ การแก้ไขเพิ่มเติมรัฐธรรมนูญและการร่างรัฐธรรมนูญ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๒๙๕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๒๙๖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๑๓ การขัดกันแห่งผลประโยชน์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๒๙๗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๒๙๙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๑๔ การปฏิรูปประเทศ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๓๐๐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๓๐๖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๑๕ องค์กรอัยการ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๓๐๗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๓๑๐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๑๖ องค์กรอิสระ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๓๑๑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๓๓๗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๑๗ สิทธิชุมชนและการมีส่วนร่วมภาคประชาชน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๓๓๘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๓๗๗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๑๘ สิทธิแรงงานและการคุ้มครองผู้ใช้แรงงาน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๓๗๘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๔๑๗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๑๙ สิทธิด้านสิ่งแวดล้อมและทรัพยากรธรรมชาติ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๔๑๘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๔๕๗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๒๐ เทคโนโลยี นวัตกรรม และเศรษฐกิจดิจิทัล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๔๕๘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๔๙๗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๒๑ ความมั่นคงทางอาหารและการเกษตร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๔๙๘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๕๓๗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๒๒ สิทธิเด็ก เยาวชน ผู้สูงอายุ และผู้พิการ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๕๓๘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๕๗๗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๒๓ การศึกษา วิทยาศาสตร์ และวิจัย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๕๗๘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๖๑๗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๒๔ สาธารณสุขและระบบสุขภาพ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๖๑๘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๖๕๗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๒๕ การต่อต้านการทุจริตและธรรมาภิบาล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๖๕๘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๖๙๗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๒๖ สื่อมวลชน เสรีภาพสื่อ และข้อมูลข่าวสาร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๖๙๘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๗๓๗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๒๗ การคลัง งบประมาณ และเศรษฐกิจภาคประชาชน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๗๓๘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๗๗๗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๒๘ กองทัพ ความมั่นคง และการควบคุมโดยพลเรือน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๗๗๘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๘๑๗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๒๙ ความสัมพันธ์ระหว่างประเทศและสนธิสัญญา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๘๑๘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๘๕๖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๓๐ สิทธิวัฒนธรรม ภาษา และชาติพันธุ์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๘๕๗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๘๙๕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๓๑ ที่อยู่อาศัยและการพัฒนาเมือง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๘๙๖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๙๓๔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๓๒ พลังงาน สาธารณูปโภค และการขนส่ง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๙๓๕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๙๗๓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๓๓ กีฬา นันทนาการ และการท่องเที่ยว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๙๗๔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๑๐๑๒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๓๔ สถานการณ์ฉุกเฉินและภัยพิบัติ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๑๐๑๓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๑๐๕๑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๓๕ ความยุติธรรมในระยะเปลี่ยนผ่าน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๑๐๕๒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๑๐๙๐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๓๖ บทลงโทษและมาตรการบังคับตามรัฐธรรมนูญ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๑๐๙๑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๑๑๒๙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บทเฉพาะกาล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๑๑๓๐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๑๑๕๒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หมวดพิเศษ อำนาจสูงสุดพิทักษ์ประชาชน (The Supreme People's Power)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๑๑๕๓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๑๑๖๐</w:t>
            </w:r>
          </w:p>
        </w:tc>
      </w:tr>
    </w:tbl>
    <w:p>
      <w:pPr>
        <w:pStyle w:val="สรุป"/>
      </w:pPr>
      <w:r>
        <w:t>รวมทั้งสิ้น ๓๘ หมวด  ๑๑๖๐ มาตรา</w:t>
      </w:r>
    </w:p>
    <w:sectPr w:rsidR="00FC693F" w:rsidRPr="0006063C" w:rsidSect="00034616">
      <w:headerReference w:type="default" r:id="rId9"/>
      <w:pgSz w:w="11906" w:h="16838"/>
      <w:pgMar w:top="1417" w:right="1134" w:bottom="1134" w:left="1701" w:header="709" w:footer="567" w:gutter="0"/>
      <w:cols w:space="720"/>
      <w:docGrid w:linePitch="360"/>
      <w:pgNumType w:fmt="thaiNumber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หัวกระดาษ"/>
      <w:jc w:val="center"/>
    </w:pPr>
    <w:r>
      <w:t>รัฐธรรมนูญแห่งราชอาณาจักรไทย พุทธศักราช ๒๕๒๕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h-TH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eastAsia="TH Sarabun New" w:cs="TH Sarabun New"/>
        <w:noProof/>
        <w:sz w:val="32"/>
        <w:szCs w:val="32"/>
        <w:lang w:val="th-TH" w:eastAsia="th-TH" w:bidi="th-TH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40" w:lineRule="auto"/>
    </w:pPr>
    <w:rPr>
      <w:rFonts w:ascii="TH Sarabun New" w:hAnsi="TH Sarabun New" w:eastAsia="TH Sarabun New" w:cs="TH Sarabun New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หัวกระดาษ">
    <w:name w:val="หัวกระดาษ"/>
    <w:basedOn w:val="Normal"/>
    <w:qFormat/>
    <w:pPr>
      <w:keepNext w:val="0"/>
      <w:pageBreakBefore w:val="0"/>
      <w:tabs>
        <w:tab w:pos="4535" w:val="center"/>
        <w:tab w:pos="9071" w:val="right"/>
      </w:tabs>
      <w:spacing w:before="0" w:after="0"/>
      <w:pBdr>
        <w:bottom w:val="single" w:sz="6" w:space="4" w:color="000000"/>
      </w:pBdr>
    </w:pPr>
    <w:rPr>
      <w:rFonts w:ascii="TH Sarabun New" w:hAnsi="TH Sarabun New" w:eastAsia="TH Sarabun New" w:cs="TH Sarabun New"/>
      <w:color w:val="000000"/>
      <w:sz w:val="24"/>
      <w:szCs w:val="24"/>
    </w:rPr>
  </w:style>
  <w:style w:type="paragraph" w:customStyle="1" w:styleId="สารบัญ">
    <w:name w:val="สารบัญ"/>
    <w:basedOn w:val="Normal"/>
    <w:qFormat/>
    <w:pPr>
      <w:keepNext w:val="0"/>
      <w:pageBreakBefore w:val="0"/>
      <w:spacing w:before="240" w:after="0"/>
      <w:jc w:val="center"/>
    </w:pPr>
    <w:rPr>
      <w:rFonts w:ascii="TH Sarabun New" w:hAnsi="TH Sarabun New" w:eastAsia="TH Sarabun New" w:cs="TH Sarabun New"/>
      <w:b/>
      <w:bCs/>
      <w:color w:val="000000"/>
      <w:sz w:val="52"/>
      <w:szCs w:val="52"/>
    </w:rPr>
  </w:style>
  <w:style w:type="paragraph" w:customStyle="1" w:styleId="สารบัญ-ชื่อ">
    <w:name w:val="สารบัญ-ชื่อ"/>
    <w:basedOn w:val="Normal"/>
    <w:qFormat/>
    <w:pPr>
      <w:keepNext w:val="0"/>
      <w:pageBreakBefore w:val="0"/>
      <w:spacing w:before="0" w:after="360"/>
      <w:jc w:val="center"/>
    </w:pPr>
    <w:rPr>
      <w:rFonts w:ascii="TH Sarabun New" w:hAnsi="TH Sarabun New" w:eastAsia="TH Sarabun New" w:cs="TH Sarabun New"/>
      <w:b/>
      <w:bCs/>
      <w:color w:val="000000"/>
      <w:sz w:val="36"/>
      <w:szCs w:val="36"/>
    </w:rPr>
  </w:style>
  <w:style w:type="paragraph" w:customStyle="1" w:styleId="ตาราง">
    <w:name w:val="ตาราง"/>
    <w:basedOn w:val="Normal"/>
    <w:qFormat/>
    <w:pPr>
      <w:keepNext w:val="0"/>
      <w:pageBreakBefore w:val="0"/>
      <w:spacing w:before="0" w:after="0"/>
    </w:pPr>
    <w:rPr>
      <w:rFonts w:ascii="TH Sarabun New" w:hAnsi="TH Sarabun New" w:eastAsia="TH Sarabun New" w:cs="TH Sarabun New"/>
      <w:color w:val="000000"/>
      <w:sz w:val="30"/>
      <w:szCs w:val="30"/>
    </w:rPr>
  </w:style>
  <w:style w:type="paragraph" w:customStyle="1" w:styleId="ตาราง-กลาง">
    <w:name w:val="ตาราง-กลาง"/>
    <w:basedOn w:val="Normal"/>
    <w:qFormat/>
    <w:pPr>
      <w:keepNext w:val="0"/>
      <w:pageBreakBefore w:val="0"/>
      <w:spacing w:before="0" w:after="0"/>
      <w:jc w:val="center"/>
    </w:pPr>
    <w:rPr>
      <w:rFonts w:ascii="TH Sarabun New" w:hAnsi="TH Sarabun New" w:eastAsia="TH Sarabun New" w:cs="TH Sarabun New"/>
      <w:color w:val="000000"/>
      <w:sz w:val="30"/>
      <w:szCs w:val="30"/>
    </w:rPr>
  </w:style>
  <w:style w:type="paragraph" w:customStyle="1" w:styleId="สรุป">
    <w:name w:val="สรุป"/>
    <w:basedOn w:val="Normal"/>
    <w:qFormat/>
    <w:pPr>
      <w:keepNext w:val="0"/>
      <w:pageBreakBefore w:val="0"/>
      <w:spacing w:before="240" w:after="0"/>
      <w:jc w:val="right"/>
    </w:pPr>
    <w:rPr>
      <w:rFonts w:ascii="TH Sarabun New" w:hAnsi="TH Sarabun New" w:eastAsia="TH Sarabun New" w:cs="TH Sarabun New"/>
      <w:b/>
      <w:bCs/>
      <w:color w:val="000000"/>
      <w:sz w:val="32"/>
      <w:szCs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รัฐธรรมนูญแห่งราชอาณาจักรไทย พุทธศักราช ๒๕๒๕</dc:title>
  <dc:subject/>
  <dc:creator>รัฐธรรมนุญจำลอง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