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rFonts w:ascii="黑体" w:hAnsi="黑体" w:eastAsia="黑体"/>
          <w:b w:val="0"/>
          <w:color w:val="000000"/>
          <w:sz w:val="40"/>
        </w:rPr>
        <w:t>单流单极化预编码扩展为双流双极化的最小验证报告</w:t>
      </w:r>
    </w:p>
    <w:p>
      <w:pPr>
        <w:spacing w:after="280"/>
      </w:pPr>
      <w:r>
        <w:rPr>
          <w:rFonts w:ascii="宋体" w:hAnsi="宋体" w:eastAsia="宋体"/>
          <w:b w:val="0"/>
          <w:color w:val="000000"/>
          <w:sz w:val="21"/>
        </w:rPr>
        <w:t>全方法扩展说明与最小可行性验证    2026年10月22日</w:t>
      </w:r>
    </w:p>
    <w:p>
      <w:r>
        <w:t>本报告说明如何把原低反馈预编码仿真中的单流单极化结构，扩展为双流双极化结构，并用原有全部方法完成最小可行性验证。原方法包括SVD、Type-I、Type-II、HAQSE R3/R5、DFT R3/R5和POS R3/R5，另保留注水容量参考。</w:t>
      </w:r>
    </w:p>
    <w:p>
      <w:r>
        <w:t>验证结果支持这些方法在当前受控信道模型下形成两个有效接收模式。32个固定位置、两种阵列和两种信道下，共4096条验证记录均通过数值检查；其中1792条可实施双流记录均保持接收秩2。所有UE链路在本次32个位置上均获得正的双流增量；ULA混合信道的DFT CPU链路存在少数负增量位置。可行性成立不代表每个位置都应固定发送两流。</w:t>
      </w:r>
    </w:p>
    <w:p>
      <w:r>
        <w:t>本次目标是补齐方法并验证实现链路。仅固定B为8、观测SNR为30 dB，不进行SNR、AP数、量化精度或极化失配扫描，也不根据这32个位置给出算法排名。</w:t>
      </w:r>
    </w:p>
    <w:p>
      <w:pPr>
        <w:keepNext/>
        <w:spacing w:before="120" w:after="100"/>
      </w:pPr>
      <w:r>
        <w:rPr>
          <w:rFonts w:ascii="宋体" w:hAnsi="宋体" w:eastAsia="宋体"/>
          <w:b/>
          <w:color w:val="000000"/>
          <w:sz w:val="21"/>
        </w:rPr>
        <w:t>表1 本次验证范围</w:t>
      </w:r>
    </w:p>
    <w:tbl>
      <w:tblPr>
        <w:tblW w:type="auto" w:w="0"/>
        <w:jc w:val="center"/>
        <w:tblLayout w:type="fixed"/>
        <w:tblLook w:firstColumn="1" w:firstRow="1" w:lastColumn="0" w:lastRow="0" w:noHBand="0" w:noVBand="1" w:val="04A0"/>
      </w:tblPr>
      <w:tblGrid>
        <w:gridCol w:w="1928"/>
        <w:gridCol w:w="7370"/>
      </w:tblGrid>
      <w:tr>
        <w:trPr>
          <w:cantSplit/>
          <w:tblHeader/>
        </w:trPr>
        <w:tc>
          <w:tcPr>
            <w:tcW w:type="dxa" w:w="192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1"/>
              </w:rPr>
              <w:t>项目</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1"/>
              </w:rPr>
              <w:t>设置</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样本</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原冻结400位置库中的前32个位置  所有方法共同使用</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独立流程预检查</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原库第399和400个位置  与32个验证位置不重叠</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阵列与信道</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ULA64及UPA32×32  LOS及六散射体混合信道</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发送配置</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同一双极化硬件分别发送1流和2流</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功率与带宽</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总功率1  可实施方法每AP功率1/8  带宽20 MHz</w:t>
            </w:r>
          </w:p>
        </w:tc>
      </w:tr>
      <w:tr>
        <w:trPr>
          <w:cantSplit/>
        </w:trPr>
        <w:tc>
          <w:tcPr>
            <w:tcW w:type="dxa" w:w="192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极化条件</w:t>
            </w:r>
          </w:p>
        </w:tc>
        <w:tc>
          <w:tcPr>
            <w:tcW w:type="dxa" w:w="7370"/>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标称已知极化方向  无新增姿态或端口相位失配</w:t>
            </w:r>
          </w:p>
        </w:tc>
      </w:tr>
    </w:tbl>
    <w:p>
      <w:pPr>
        <w:spacing w:after="20"/>
      </w:pPr>
    </w:p>
    <w:p>
      <w:r>
        <w:t>需要区分两个概念：单流是发送的数据流数为1，并不表示联合多AP信道只能有一个空间模式；双极化描述每个空间阵元的两个极化端口，也不等同于自动获得两个无干扰数据流。</w:t>
      </w:r>
    </w:p>
    <w:p>
      <w:r>
        <w:br w:type="page"/>
      </w:r>
    </w:p>
    <w:p>
      <w:pPr>
        <w:pStyle w:val="Heading1"/>
        <w:spacing w:after="200"/>
      </w:pPr>
      <w:r>
        <w:t>一 从向量预编码扩展为矩阵预编码</w:t>
      </w:r>
    </w:p>
    <w:p>
      <w:r>
        <w:t>原模型中，每个AP有N个单极化空间阵元，UE有4个接收空间位置，单AP信道为4×N，预编码为N×1向量。原方案利用一个空间波束和一个AP间复系数承载单流。</w:t>
      </w:r>
    </w:p>
    <w:p>
      <w:pPr>
        <w:spacing w:before="100" w:after="120"/>
        <w:jc w:val="center"/>
      </w:pPr>
      <m:oMath>
        <m:sSub>
          <m:e>
            <m:r>
              <m:t>w</m:t>
            </m:r>
          </m:e>
          <m:sub>
            <m:r>
              <m:t>b</m:t>
            </m:r>
          </m:sub>
        </m:sSub>
        <m:r>
          <m:t> = </m:t>
        </m:r>
        <m:sSub>
          <m:e>
            <m:r>
              <m:t>f</m:t>
            </m:r>
          </m:e>
          <m:sub>
            <m:r>
              <m:t>b</m:t>
            </m:r>
          </m:sub>
        </m:sSub>
        <m:r>
          <m:t> </m:t>
        </m:r>
        <m:sSub>
          <m:e>
            <m:r>
              <m:t>c</m:t>
            </m:r>
          </m:e>
          <m:sub>
            <m:r>
              <m:t>b</m:t>
            </m:r>
          </m:sub>
        </m:sSub>
      </m:oMath>
    </w:p>
    <w:p>
      <w:r>
        <w:t>扩展时保留原空间坐标、阵元间距和AP朝向。每个空间阵元改为两个±45°极化端口，UE为4个空间位置乘2个极化端口，共8个接收端口。单AP信道变为8×2N，双流预编码变为2N×2矩阵。</w:t>
      </w:r>
    </w:p>
    <w:p>
      <w:pPr>
        <w:keepNext/>
        <w:spacing w:before="120" w:after="100"/>
      </w:pPr>
      <w:r>
        <w:rPr>
          <w:rFonts w:ascii="宋体" w:hAnsi="宋体" w:eastAsia="宋体"/>
          <w:b/>
          <w:color w:val="000000"/>
          <w:sz w:val="21"/>
        </w:rPr>
        <w:t>表2 每AP矩阵维度变化</w:t>
      </w:r>
    </w:p>
    <w:tbl>
      <w:tblPr>
        <w:tblW w:type="auto" w:w="0"/>
        <w:jc w:val="center"/>
        <w:tblLayout w:type="fixed"/>
        <w:tblLook w:firstColumn="1" w:firstRow="1" w:lastColumn="0" w:lastRow="0" w:noHBand="0" w:noVBand="1" w:val="04A0"/>
      </w:tblPr>
      <w:tblGrid>
        <w:gridCol w:w="2551"/>
        <w:gridCol w:w="1984"/>
        <w:gridCol w:w="2551"/>
        <w:gridCol w:w="2211"/>
      </w:tblGrid>
      <w:tr>
        <w:trPr>
          <w:cantSplit/>
          <w:tblHeader/>
        </w:trPr>
        <w:tc>
          <w:tcPr>
            <w:tcW w:type="dxa" w:w="255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场景</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原信道</w:t>
            </w:r>
          </w:p>
        </w:tc>
        <w:tc>
          <w:tcPr>
            <w:tcW w:type="dxa" w:w="255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扩展信道</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双流预编码</w:t>
            </w:r>
          </w:p>
        </w:tc>
      </w:tr>
      <w:tr>
        <w:trPr>
          <w:cantSplit/>
        </w:trPr>
        <w:tc>
          <w:tcPr>
            <w:tcW w:type="dxa" w:w="255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ULA64</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4×64</w:t>
            </w:r>
          </w:p>
        </w:tc>
        <w:tc>
          <w:tcPr>
            <w:tcW w:type="dxa" w:w="255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8×128</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128×2</w:t>
            </w:r>
          </w:p>
        </w:tc>
      </w:tr>
      <w:tr>
        <w:trPr>
          <w:cantSplit/>
        </w:trPr>
        <w:tc>
          <w:tcPr>
            <w:tcW w:type="dxa" w:w="255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UPA32×32</w:t>
            </w:r>
          </w:p>
        </w:tc>
        <w:tc>
          <w:tcPr>
            <w:tcW w:type="dxa" w:w="198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4×1024</w:t>
            </w:r>
          </w:p>
        </w:tc>
        <w:tc>
          <w:tcPr>
            <w:tcW w:type="dxa" w:w="255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8×2048</w:t>
            </w:r>
          </w:p>
        </w:tc>
        <w:tc>
          <w:tcPr>
            <w:tcW w:type="dxa" w:w="221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2048×2</w:t>
            </w:r>
          </w:p>
        </w:tc>
      </w:tr>
    </w:tbl>
    <w:p>
      <w:pPr>
        <w:spacing w:after="20"/>
      </w:pPr>
    </w:p>
    <w:p>
      <w:pPr>
        <w:spacing w:before="100" w:after="120"/>
        <w:jc w:val="center"/>
      </w:pPr>
      <m:oMath>
        <m:sSub>
          <m:e>
            <m:r>
              <m:t>W</m:t>
            </m:r>
          </m:e>
          <m:sub>
            <m:r>
              <m:t>b</m:t>
            </m:r>
          </m:sub>
        </m:sSub>
        <m:r>
          <m:t> = (</m:t>
        </m:r>
        <m:sSub>
          <m:e>
            <m:r>
              <m:t>I</m:t>
            </m:r>
          </m:e>
          <m:sub>
            <m:r>
              <m:t>2</m:t>
            </m:r>
          </m:sub>
        </m:sSub>
        <m:r>
          <m:t> ⊗ </m:t>
        </m:r>
        <m:sSub>
          <m:e>
            <m:r>
              <m:t>f</m:t>
            </m:r>
          </m:e>
          <m:sub>
            <m:r>
              <m:t>b</m:t>
            </m:r>
          </m:sub>
        </m:sSub>
        <m:r>
          <m:t>) </m:t>
        </m:r>
        <m:sSub>
          <m:e>
            <m:r>
              <m:t>C</m:t>
            </m:r>
          </m:e>
          <m:sub>
            <m:r>
              <m:t>b</m:t>
            </m:r>
          </m:sub>
        </m:sSub>
        <m:r>
          <m:t> = </m:t>
        </m:r>
        <m:sSub>
          <m:e>
            <m:r>
              <m:t>F</m:t>
            </m:r>
          </m:e>
          <m:sub>
            <m:r>
              <m:t>b</m:t>
            </m:r>
          </m:sub>
        </m:sSub>
        <m:r>
          <m:t> </m:t>
        </m:r>
        <m:sSub>
          <m:e>
            <m:r>
              <m:t>C</m:t>
            </m:r>
          </m:e>
          <m:sub>
            <m:r>
              <m:t>b</m:t>
            </m:r>
          </m:sub>
        </m:sSub>
      </m:oMath>
    </w:p>
    <w:p>
      <w:r>
        <w:t>F_b为2N×2，给两个极化端口配置相同的公共空间波束；C_b为2×Ns，其中Ns为发送流数。单流时C_b是2×1向量，双流时为2×2矩阵。它决定两个极化端口的配比、跨AP相对相位及各流的线性组合，因此不能直接把旧的一个共相位复制给两个流。</w:t>
      </w:r>
    </w:p>
    <w:p>
      <w:r>
        <w:t>真信道保留逐阵元球面传播距离，LOS使用横向投影Jones矩阵描述极化耦合；六条散射路径分别加入极化耦合矩阵，设置XPR为10 dB，再按原K为10 dB的Rician规则合成。极化按中心射线计算，并归一路径极化矩阵范数。这是受控双极化模型，尚不是完整3GPP或实测信道。</w:t>
      </w:r>
    </w:p>
    <w:p>
      <w:pPr>
        <w:jc w:val="center"/>
      </w:pPr>
      <w:r>
        <w:drawing>
          <wp:inline xmlns:a="http://schemas.openxmlformats.org/drawingml/2006/main" xmlns:pic="http://schemas.openxmlformats.org/drawingml/2006/picture">
            <wp:extent cx="5760000" cy="1908000"/>
            <wp:docPr id="1" name="Picture 1" descr="图1 公共空间波束与两条系数设计链路"/>
            <wp:cNvGraphicFramePr>
              <a:graphicFrameLocks noChangeAspect="1"/>
            </wp:cNvGraphicFramePr>
            <a:graphic>
              <a:graphicData uri="http://schemas.openxmlformats.org/drawingml/2006/picture">
                <pic:pic>
                  <pic:nvPicPr>
                    <pic:cNvPr id="0" name="扩展处理流程.png"/>
                    <pic:cNvPicPr/>
                  </pic:nvPicPr>
                  <pic:blipFill>
                    <a:blip r:embed="rId10"/>
                    <a:stretch>
                      <a:fillRect/>
                    </a:stretch>
                  </pic:blipFill>
                  <pic:spPr>
                    <a:xfrm>
                      <a:off x="0" y="0"/>
                      <a:ext cx="5760000" cy="1908000"/>
                    </a:xfrm>
                    <a:prstGeom prst="rect"/>
                  </pic:spPr>
                </pic:pic>
              </a:graphicData>
            </a:graphic>
          </wp:inline>
        </w:drawing>
      </w:r>
    </w:p>
    <w:p>
      <w:pPr>
        <w:jc w:val="center"/>
      </w:pPr>
      <w:r>
        <w:t>图1 公共空间波束与两条系数设计链路</w:t>
      </w:r>
    </w:p>
    <w:p>
      <w:r>
        <w:br w:type="page"/>
      </w:r>
    </w:p>
    <w:p>
      <w:pPr>
        <w:pStyle w:val="Heading1"/>
        <w:spacing w:after="200"/>
      </w:pPr>
      <w:r>
        <w:t>二 原有方法分别怎样扩展</w:t>
      </w:r>
    </w:p>
    <w:p>
      <w:r>
        <w:t>本次保留原方法获取空间波束的区别，并把后续的AP单流系数统一扩展为双极化多流矩阵。HAQSE、DFT和POS分别运行CPU与UE两条链路；Type-I和Type-II按原仓库定义继续使用UE观测CSI，作为两类链路共享的基线。</w:t>
      </w:r>
    </w:p>
    <w:p>
      <w:pPr>
        <w:keepNext/>
        <w:spacing w:before="120" w:after="100"/>
      </w:pPr>
      <w:r>
        <w:rPr>
          <w:rFonts w:ascii="宋体" w:hAnsi="宋体" w:eastAsia="宋体"/>
          <w:b/>
          <w:color w:val="000000"/>
          <w:sz w:val="21"/>
        </w:rPr>
        <w:t>表3 方法与空间消息</w:t>
      </w:r>
    </w:p>
    <w:tbl>
      <w:tblPr>
        <w:tblW w:type="auto" w:w="0"/>
        <w:jc w:val="center"/>
        <w:tblLayout w:type="fixed"/>
        <w:tblLook w:firstColumn="1" w:firstRow="1" w:lastColumn="0" w:lastRow="0" w:noHBand="0" w:noVBand="1" w:val="04A0"/>
      </w:tblPr>
      <w:tblGrid>
        <w:gridCol w:w="1701"/>
        <w:gridCol w:w="3458"/>
        <w:gridCol w:w="4139"/>
      </w:tblGrid>
      <w:tr>
        <w:trPr>
          <w:cantSplit/>
          <w:tblHeader/>
        </w:trPr>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1"/>
              </w:rPr>
              <w:t>方法</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1"/>
              </w:rPr>
              <w:t>UE反馈的空间信息</w:t>
            </w:r>
          </w:p>
        </w:tc>
        <w:tc>
          <w:tcPr>
            <w:tcW w:type="dxa" w:w="413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1"/>
              </w:rPr>
              <w:t>CPU恢复空间波束</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HAQSE R3/R5</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参考AP的量化空间频率 每维14 bit</w:t>
            </w:r>
          </w:p>
        </w:tc>
        <w:tc>
          <w:tcPr>
            <w:tcW w:type="dxa" w:w="413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由频率定位 参考AP保留直接频率波束 其余AP由位置推断</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DFT R3/R5</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参考AP的DFT波束索引</w:t>
            </w:r>
          </w:p>
        </w:tc>
        <w:tc>
          <w:tcPr>
            <w:tcW w:type="dxa" w:w="413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由索引定位 参考AP保留直接索引波束 其余AP由位置推断</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POS R3/R5</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连续HAQSE方向在UE定位后的量化坐标</w:t>
            </w:r>
          </w:p>
        </w:tc>
        <w:tc>
          <w:tcPr>
            <w:tcW w:type="dxa" w:w="413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全部AP波束由解码坐标生成 包括参考AP</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Type-I</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每AP一个DFT空间波束索引</w:t>
            </w:r>
          </w:p>
        </w:tc>
        <w:tc>
          <w:tcPr>
            <w:tcW w:type="dxa" w:w="413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直接恢复每AP空间波束 两极化共用</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Type-II</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每AP两个空间索引及复合波束的幅相索引</w:t>
            </w:r>
          </w:p>
        </w:tc>
        <w:tc>
          <w:tcPr>
            <w:tcW w:type="dxa" w:w="413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恢复每AP双波束复合结果 两极化共用</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SVD等功率参考</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真实完整信道 不设有限反馈预算</w:t>
            </w:r>
          </w:p>
        </w:tc>
        <w:tc>
          <w:tcPr>
            <w:tcW w:type="dxa" w:w="413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前Ns个真实右奇异向量 每流功率1/Ns</w:t>
            </w:r>
          </w:p>
        </w:tc>
      </w:tr>
      <w:tr>
        <w:trPr>
          <w:cantSplit/>
        </w:trPr>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注水容量参考</w:t>
            </w:r>
          </w:p>
        </w:tc>
        <w:tc>
          <w:tcPr>
            <w:tcW w:type="dxa" w:w="345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真实完整信道 不设有限反馈预算</w:t>
            </w:r>
          </w:p>
        </w:tc>
        <w:tc>
          <w:tcPr>
            <w:tcW w:type="dxa" w:w="413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最多Ns流注水容量 放松每AP功率约束</w:t>
            </w:r>
          </w:p>
        </w:tc>
      </w:tr>
    </w:tbl>
    <w:p>
      <w:pPr>
        <w:spacing w:after="20"/>
      </w:pPr>
    </w:p>
    <w:p>
      <w:r>
        <w:t>双极化参考AP的观测可整理成16个空间快拍。HAQSE按观测能量选4个快拍后调用原估计器。DFT参考方向则由本地观测前两个模式在两种发射极化上的空间能量评分选取；Type-I和Type-II对联合观测前两个模式作相同形式的空间评分。两个发送流数共用所选波束，以便检查在同一子空间内从一流增加到两流的效果。</w:t>
      </w:r>
    </w:p>
    <w:p>
      <w:r>
        <w:t>Type-II保留原仓库的双波束复合形式。先在原正交DFT分组内选两个能量较强的波束，再由它们的2×2投影协方差主特征向量获得相对幅相。相对幅度量化为3 bit，相对相位量化为2 bit，复合为空间波束后，再乘2×Ns的C_b。此处没有扩大为每极化两个独立波束再接4×Ns系数的更一般结构。</w:t>
      </w:r>
    </w:p>
    <w:p>
      <w:r>
        <w:t>为检查扩展是否保留原定义，构造单模式且只有一个发射极化有效的退化信道。新Type-I和Type-II解码得到的空间波束、方向bit和内部组合bit均与原实现一致，最大波束差为0。本报告中的Type-I和Type-II指仓库的简化结构扩展，不声称完整标准码本符合性。</w:t>
      </w:r>
    </w:p>
    <w:p>
      <w:r>
        <w:br w:type="page"/>
      </w:r>
    </w:p>
    <w:p>
      <w:pPr>
        <w:pStyle w:val="Heading1"/>
        <w:spacing w:after="200"/>
      </w:pPr>
      <w:r>
        <w:t>三 有效信道 系数编码和功率控制</w:t>
      </w:r>
    </w:p>
    <w:p>
      <w:r>
        <w:t>把各AP的H_b F_b按列拼接，得到8×2B的有效信道E。UE链路使用带噪观测得到的有效信道，CPU链路用解码位置、公开AP几何和已知标称极化方向重构局部平面LOS有效信道。CPU没有读取真实信道或UE观测CSI。</w:t>
      </w:r>
    </w:p>
    <w:p>
      <w:pPr>
        <w:spacing w:before="100" w:after="120"/>
        <w:jc w:val="center"/>
      </w:pPr>
      <m:oMath>
        <m:r>
          <m:t>E = [</m:t>
        </m:r>
        <m:sSub>
          <m:e>
            <m:r>
              <m:t>H</m:t>
            </m:r>
          </m:e>
          <m:sub>
            <m:r>
              <m:t>1</m:t>
            </m:r>
          </m:sub>
        </m:sSub>
        <m:r>
          <m:t> </m:t>
        </m:r>
        <m:sSub>
          <m:e>
            <m:r>
              <m:t>F</m:t>
            </m:r>
          </m:e>
          <m:sub>
            <m:r>
              <m:t>1</m:t>
            </m:r>
          </m:sub>
        </m:sSub>
        <m:r>
          <m:t>, …, </m:t>
        </m:r>
        <m:sSub>
          <m:e>
            <m:r>
              <m:t>H</m:t>
            </m:r>
          </m:e>
          <m:sub>
            <m:r>
              <m:t>B</m:t>
            </m:r>
          </m:sub>
        </m:sSub>
        <m:r>
          <m:t> </m:t>
        </m:r>
        <m:sSub>
          <m:e>
            <m:r>
              <m:t>F</m:t>
            </m:r>
          </m:e>
          <m:sub>
            <m:r>
              <m:t>B</m:t>
            </m:r>
          </m:sub>
        </m:sSub>
        <m:r>
          <m:t>]</m:t>
        </m:r>
      </m:oMath>
    </w:p>
    <w:p>
      <w:r>
        <w:t>以前Ns个右奇异向量初始化C，将每个AP的2×Ns系数块归一到Frobenius范数1/√B。由于F_b的两列正交且单位范数，这保证每AP总功率为1/B，并保证所有AP与所有流合计总功率为1。该逐AP归一是启发式设计，不保证原SVD正交性或每AP功率约束下的全局最优。</w:t>
      </w:r>
    </w:p>
    <w:p>
      <w:pPr>
        <w:spacing w:before="100" w:after="120"/>
        <w:jc w:val="center"/>
      </w:pPr>
      <m:oMath>
        <m:r>
          <m:t>‖</m:t>
        </m:r>
        <m:sSub>
          <m:e>
            <m:r>
              <m:t>C</m:t>
            </m:r>
          </m:e>
          <m:sub>
            <m:r>
              <m:t>b</m:t>
            </m:r>
          </m:sub>
        </m:sSub>
        <m:r>
          <m:t>‖² = 1/B,     </m:t>
        </m:r>
        <m:sSubSup>
          <m:e>
            <m:r>
              <m:t>∑</m:t>
            </m:r>
          </m:e>
          <m:sub>
            <m:r>
              <m:t>b=1</m:t>
            </m:r>
          </m:sub>
          <m:sup>
            <m:r>
              <m:t>B</m:t>
            </m:r>
          </m:sup>
        </m:sSubSup>
        <m:r>
          <m:t> ‖</m:t>
        </m:r>
        <m:sSub>
          <m:e>
            <m:r>
              <m:t>W</m:t>
            </m:r>
          </m:e>
          <m:sub>
            <m:r>
              <m:t>b</m:t>
            </m:r>
          </m:sub>
        </m:sSub>
        <m:r>
          <m:t>‖² = 1</m:t>
        </m:r>
      </m:oMath>
    </w:p>
    <w:p>
      <w:r>
        <w:t>UE系数逐复数采用幅度3 bit和相位4 bit，并为每流固定一个不影响速率的全局相位锚。CPU只接收整数索引，解码后再次逐AP归一。原来的跨AP共相位已经包含在系数相位中，不再重复计费。CPU链路直接在CPU计算系数，不发送UE系数消息。</w:t>
      </w:r>
    </w:p>
    <w:p>
      <w:pPr>
        <w:spacing w:before="100" w:after="120"/>
        <w:jc w:val="center"/>
      </w:pPr>
      <m:oMath>
        <m:sSub>
          <m:e>
            <m:r>
              <m:t>L</m:t>
            </m:r>
          </m:e>
          <m:sub>
            <m:r>
              <m:t>C</m:t>
            </m:r>
          </m:sub>
        </m:sSub>
        <m:r>
          <m:t> = 2B</m:t>
        </m:r>
        <m:sSub>
          <m:e>
            <m:r>
              <m:t>N</m:t>
            </m:r>
          </m:e>
          <m:sub>
            <m:r>
              <m:t>s</m:t>
            </m:r>
          </m:sub>
        </m:sSub>
        <m:r>
          <m:t>(</m:t>
        </m:r>
        <m:sSub>
          <m:e>
            <m:r>
              <m:t>q</m:t>
            </m:r>
          </m:e>
          <m:sub>
            <m:r>
              <m:t>A</m:t>
            </m:r>
          </m:sub>
        </m:sSub>
        <m:r>
          <m:t> + </m:t>
        </m:r>
        <m:sSub>
          <m:e>
            <m:r>
              <m:t>q</m:t>
            </m:r>
          </m:e>
          <m:sub>
            <m:r>
              <m:t>P</m:t>
            </m:r>
          </m:sub>
        </m:sSub>
        <m:r>
          <m:t>) − </m:t>
        </m:r>
        <m:sSub>
          <m:e>
            <m:r>
              <m:t>N</m:t>
            </m:r>
          </m:e>
          <m:sub>
            <m:r>
              <m:t>s</m:t>
            </m:r>
          </m:sub>
        </m:sSub>
        <m:sSub>
          <m:e>
            <m:r>
              <m:t>q</m:t>
            </m:r>
          </m:e>
          <m:sub>
            <m:r>
              <m:t>P</m:t>
            </m:r>
          </m:sub>
        </m:sSub>
      </m:oMath>
    </w:p>
    <w:p>
      <w:r>
        <w:t>B为8时，单流系数为108 bit，双流为216 bit。POS坐标统一沿用相位敏感度分配：ULA为24 bit，x/y各12 bit；UPA为36 bit，x/y/z分别13/14/9 bit。R3与R5坐标预算相同。Type-II另外计每AP的两个方向索引和5 bit内部复合系数。</w:t>
      </w:r>
    </w:p>
    <w:p>
      <w:pPr>
        <w:keepNext/>
        <w:spacing w:before="120" w:after="100"/>
      </w:pPr>
      <w:r>
        <w:rPr>
          <w:rFonts w:ascii="宋体" w:hAnsi="宋体" w:eastAsia="宋体"/>
          <w:b/>
          <w:color w:val="000000"/>
          <w:sz w:val="21"/>
        </w:rPr>
        <w:t>表4 B为8时的双流有效载荷 bit</w:t>
      </w:r>
    </w:p>
    <w:tbl>
      <w:tblPr>
        <w:tblW w:type="auto" w:w="0"/>
        <w:jc w:val="center"/>
        <w:tblLayout w:type="fixed"/>
        <w:tblLook w:firstColumn="1" w:firstRow="1" w:lastColumn="0" w:lastRow="0" w:noHBand="0" w:noVBand="1" w:val="04A0"/>
      </w:tblPr>
      <w:tblGrid>
        <w:gridCol w:w="2494"/>
        <w:gridCol w:w="1701"/>
        <w:gridCol w:w="1701"/>
        <w:gridCol w:w="1701"/>
        <w:gridCol w:w="1701"/>
      </w:tblGrid>
      <w:tr>
        <w:trPr>
          <w:cantSplit/>
          <w:tblHeader/>
        </w:trPr>
        <w:tc>
          <w:tcPr>
            <w:tcW w:type="dxa" w:w="249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方法</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CPU ULA</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CPU UPA</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UE ULA</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UE UPA</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HAQSE R3</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42</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84</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258</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300</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HAQSE R5</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70</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140</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286</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356</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DFT R3</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27</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42</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243</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258</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DFT R5</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45</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70</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261</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286</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POS R3</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24</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36</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240</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252</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POS R5</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24</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36</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240</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252</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TypeI</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UE基线</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UE基线</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288</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328</w:t>
            </w:r>
          </w:p>
        </w:tc>
      </w:tr>
      <w:tr>
        <w:trPr>
          <w:cantSplit/>
        </w:trPr>
        <w:tc>
          <w:tcPr>
            <w:tcW w:type="dxa" w:w="249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TypeII</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UE基线</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UE基线</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400</w:t>
            </w:r>
          </w:p>
        </w:tc>
        <w:tc>
          <w:tcPr>
            <w:tcW w:type="dxa" w:w="170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480</w:t>
            </w:r>
          </w:p>
        </w:tc>
      </w:tr>
    </w:tbl>
    <w:p>
      <w:pPr>
        <w:spacing w:after="20"/>
      </w:pPr>
    </w:p>
    <w:p>
      <w:r>
        <w:t>流数、码本配置和参考AP集合预先约定。本次不含自适应RI、消息头和导频开销；也不将反馈占用从吞吐量中扣除。旧单极化单流的52/64 bit属于另一种消息格式，不能用来描述本轮双极化UE链路。</w:t>
      </w:r>
    </w:p>
    <w:p>
      <w:r>
        <w:br w:type="page"/>
      </w:r>
    </w:p>
    <w:p>
      <w:pPr>
        <w:pStyle w:val="Heading1"/>
        <w:spacing w:after="200"/>
      </w:pPr>
      <w:r>
        <w:t>四 最小验证怎样运行与判定</w:t>
      </w:r>
    </w:p>
    <w:p>
      <w:r>
        <w:t>先在第399和400个位置进行独立流程预检查，再用预先固定的前32个位置确认。选择位置时没有依据本轮结果筛选；同一阵列与信道下，所有方法和流数共享真实信道、标准噪声及观测SNR。新端口噪声沿用既有双极化模块的固定种子规则，按当前协作信道平均元素功率缩放。</w:t>
      </w:r>
    </w:p>
    <w:p>
      <w:pPr>
        <w:keepNext/>
        <w:spacing w:before="120" w:after="100"/>
      </w:pPr>
      <w:r>
        <w:rPr>
          <w:rFonts w:ascii="宋体" w:hAnsi="宋体" w:eastAsia="宋体"/>
          <w:b/>
          <w:color w:val="000000"/>
          <w:sz w:val="21"/>
        </w:rPr>
        <w:t>表5 验证规模和判据</w:t>
      </w:r>
    </w:p>
    <w:tbl>
      <w:tblPr>
        <w:tblW w:type="auto" w:w="0"/>
        <w:jc w:val="center"/>
        <w:tblLayout w:type="fixed"/>
        <w:tblLook w:firstColumn="1" w:firstRow="1" w:lastColumn="0" w:lastRow="0" w:noHBand="0" w:noVBand="1" w:val="04A0"/>
      </w:tblPr>
      <w:tblGrid>
        <w:gridCol w:w="2154"/>
        <w:gridCol w:w="7143"/>
      </w:tblGrid>
      <w:tr>
        <w:trPr>
          <w:cantSplit/>
          <w:tblHeader/>
        </w:trPr>
        <w:tc>
          <w:tcPr>
            <w:tcW w:type="dxa" w:w="215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1"/>
              </w:rPr>
              <w:t>项目</w:t>
            </w:r>
          </w:p>
        </w:tc>
        <w:tc>
          <w:tcPr>
            <w:tcW w:type="dxa" w:w="714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1"/>
              </w:rPr>
              <w:t>执行内容</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方法覆盖</w:t>
            </w:r>
          </w:p>
        </w:tc>
        <w:tc>
          <w:tcPr>
            <w:tcW w:type="dxa" w:w="714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原九方法配置 加注水容量参考</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每个位置的设计数</w:t>
            </w:r>
          </w:p>
        </w:tc>
        <w:tc>
          <w:tcPr>
            <w:tcW w:type="dxa" w:w="714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6个几何方法乘CPU/UE 加Type-I/II 加SVD/容量 共16种</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正式记录数</w:t>
            </w:r>
          </w:p>
        </w:tc>
        <w:tc>
          <w:tcPr>
            <w:tcW w:type="dxa" w:w="714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2阵列×2信道×32位置×2流数×16设计 共4096条</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流程预检查</w:t>
            </w:r>
          </w:p>
        </w:tc>
        <w:tc>
          <w:tcPr>
            <w:tcW w:type="dxa" w:w="714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2个不重叠位置 共256条记录</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接收双流判据</w:t>
            </w:r>
          </w:p>
        </w:tc>
        <w:tc>
          <w:tcPr>
            <w:tcW w:type="dxa" w:w="714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有效接收矩阵H W的两个奇异值均非零</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数值检查</w:t>
            </w:r>
          </w:p>
        </w:tc>
        <w:tc>
          <w:tcPr>
            <w:tcW w:type="dxa" w:w="714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整数消息 解码功率 CPU/UE空间消息一致性 速率与容量关系</w:t>
            </w:r>
          </w:p>
        </w:tc>
      </w:tr>
      <w:tr>
        <w:trPr>
          <w:cantSplit/>
        </w:trPr>
        <w:tc>
          <w:tcPr>
            <w:tcW w:type="dxa" w:w="215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回归检查</w:t>
            </w:r>
          </w:p>
        </w:tc>
        <w:tc>
          <w:tcPr>
            <w:tcW w:type="dxa" w:w="714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32位置全部POS结果与先前400位置存档一致 Type-I波束与既有全方向模块一致</w:t>
            </w:r>
          </w:p>
        </w:tc>
      </w:tr>
    </w:tbl>
    <w:p>
      <w:pPr>
        <w:spacing w:after="20"/>
      </w:pPr>
    </w:p>
    <w:p>
      <w:r>
        <w:t>主速率使用线性MMSE接收器逐流SINR计算，吞吐量等于20乘以频谱效率，单位Mbps。同时记录联合解码速率和真实信道注水容量，核查MMSE不超过联合解码速率，联合解码速率不超过对应秩的容量参考。单流时MMSE与联合解码结果一致。</w:t>
      </w:r>
    </w:p>
    <w:p>
      <w:pPr>
        <w:spacing w:before="100" w:after="120"/>
        <w:jc w:val="center"/>
      </w:pPr>
      <m:oMath>
        <m:r>
          <m:t>R = 20 </m:t>
        </m:r>
        <m:sSubSup>
          <m:e>
            <m:r>
              <m:t>∑</m:t>
            </m:r>
          </m:e>
          <m:sub>
            <m:r>
              <m:t>s=1</m:t>
            </m:r>
          </m:sub>
          <m:sup>
            <m:r>
              <m:t>Nₛ</m:t>
            </m:r>
          </m:sup>
        </m:sSubSup>
        <m:r>
          <m:t> log₂(1 + </m:t>
        </m:r>
        <m:sSub>
          <m:e>
            <m:r>
              <m:t>SINR</m:t>
            </m:r>
          </m:e>
          <m:sub>
            <m:r>
              <m:t>s</m:t>
            </m:r>
          </m:sub>
        </m:sSub>
        <m:r>
          <m:t>)  Mbps</m:t>
        </m:r>
      </m:oMath>
    </w:p>
    <w:p>
      <w:r>
        <w:t>4096条记录通过核查；1792条可实施双流记录全部保持接收秩2，最弱的第二/第一接收模式功率比为0.02731。独立程序重新解码2048条UE系数消息和1024条坐标消息，功率误差低于10⁻¹⁴，无坐标溢出。新增Type-I/II退化回归8项检查通过，预检查中的POS重算差约5.12×10⁻¹³ Mbps，32位置POS与已发布结果差为0。</w:t>
      </w:r>
    </w:p>
    <w:p>
      <w:r>
        <w:t>接收端评估使用真实有效信道计算MMSE SINR，未另加接收信道估计误差。SVD等功率参考与注水容量参考都使用真实完整信道，并放松每AP功率约束；前者不是一般容量上界。两个参考不属于有限反馈可实施方案。</w:t>
      </w:r>
    </w:p>
    <w:p>
      <w:r>
        <w:br w:type="page"/>
      </w:r>
    </w:p>
    <w:p>
      <w:pPr>
        <w:pStyle w:val="Heading1"/>
        <w:spacing w:after="200"/>
      </w:pPr>
      <w:r>
        <w:t>五 ULA最小验证结果</w:t>
      </w:r>
    </w:p>
    <w:p>
      <w:r>
        <w:t>表中为32个位置的平均MMSE吞吐量，单位Mbps。全部使用B为8、观测SNR为30 dB和同一双极化硬件。CPU与UE行分别为六个几何方法的两条链路；Type-I/II为共享UE基线。这里只检查同一方法从一流扩展到两流的行为，不作跨方法排名。</w:t>
      </w:r>
    </w:p>
    <w:p>
      <w:pPr>
        <w:keepNext/>
        <w:spacing w:before="120" w:after="100"/>
      </w:pPr>
      <w:r>
        <w:rPr>
          <w:rFonts w:ascii="宋体" w:hAnsi="宋体" w:eastAsia="宋体"/>
          <w:b/>
          <w:color w:val="000000"/>
          <w:sz w:val="21"/>
        </w:rPr>
        <w:t>表6 ULA单流与双流结果</w:t>
      </w:r>
    </w:p>
    <w:tbl>
      <w:tblPr>
        <w:tblW w:type="auto" w:w="0"/>
        <w:jc w:val="center"/>
        <w:tblLayout w:type="fixed"/>
        <w:tblLook w:firstColumn="1" w:firstRow="1" w:lastColumn="0" w:lastRow="0" w:noHBand="0" w:noVBand="1" w:val="04A0"/>
      </w:tblPr>
      <w:tblGrid>
        <w:gridCol w:w="2948"/>
        <w:gridCol w:w="1587"/>
        <w:gridCol w:w="1587"/>
        <w:gridCol w:w="1587"/>
        <w:gridCol w:w="1587"/>
      </w:tblGrid>
      <w:tr>
        <w:trPr>
          <w:cantSplit/>
          <w:tblHeader/>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方法与链路</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LOS一流</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LOS两流</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混合一流</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混合两流</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HAQSE R3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103.68</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169.11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101.38</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163.57</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HAQSE R5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103.64</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168.75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101.23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162.28</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DFT R3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93.88</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147.21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84.59</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128.43</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DFT R5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97.90</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154.38</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88.74</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134.20</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POS R3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103.59</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168.93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101.55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163.77</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POS R5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103.71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168.74</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101.29</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162.09</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HAQSE R3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108.85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178.46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106.38</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173.26</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HAQSE R5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108.85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178.46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106.40</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173.27</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DFT R3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108.76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178.17</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98.09</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155.71</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DFT R5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108.79</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178.23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102.56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165.20</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POS R3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108.85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178.46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106.38</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173.24</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POS R5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108.85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178.46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106.39</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173.26</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TypeI</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108.85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178.46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106.36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173.01</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TypeII</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109.84</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180.63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107.28</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175.33</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SVD等功率参考</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116.45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186.01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116.19</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186.18</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注水容量参考</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116.45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186.02</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116.19</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186.18</w:t>
            </w:r>
          </w:p>
        </w:tc>
      </w:tr>
    </w:tbl>
    <w:p>
      <w:pPr>
        <w:spacing w:after="20"/>
      </w:pPr>
    </w:p>
    <w:p>
      <w:r>
        <w:t>本阵列所有方法在两种信道下的平均双流增量均为正，范围为43.84至70.79 Mbps。实际链路均保持两个非零接收模式，因此HAQSE、DFT、Type-I和Type-II也具备本次模型下的双极化双流可行性。</w:t>
      </w:r>
    </w:p>
    <w:p>
      <w:r>
        <w:t>需要保留的失败样本信息是：混合信道中，DFT R3 CPU有28/32个位置获得双流正增量，4个位置降低，最差降低4.98 Mbps；DFT R5 CPU为31/32个位置正增量，1个位置降低，最差降低17.95 Mbps。其余可实施配置本次均为32/32正增量。形成两个非零模式与固定发两流总能提速是不同判据，后续若研究自适应流数，应额外设计RI决策并计入其开销。</w:t>
      </w:r>
    </w:p>
    <w:p>
      <w:r>
        <w:br w:type="page"/>
      </w:r>
    </w:p>
    <w:p>
      <w:pPr>
        <w:pStyle w:val="Heading1"/>
        <w:spacing w:after="200"/>
      </w:pPr>
      <w:r>
        <w:t>六 UPA最小验证结果</w:t>
      </w:r>
    </w:p>
    <w:p>
      <w:r>
        <w:t>表中为32个位置的平均MMSE吞吐量，单位Mbps。全部使用B为8、观测SNR为30 dB和同一双极化硬件。CPU与UE行分别为六个几何方法的两条链路；Type-I/II为共享UE基线。这里只检查同一方法从一流扩展到两流的行为，不作跨方法排名。</w:t>
      </w:r>
    </w:p>
    <w:p>
      <w:pPr>
        <w:keepNext/>
        <w:spacing w:before="120" w:after="100"/>
      </w:pPr>
      <w:r>
        <w:rPr>
          <w:rFonts w:ascii="宋体" w:hAnsi="宋体" w:eastAsia="宋体"/>
          <w:b/>
          <w:color w:val="000000"/>
          <w:sz w:val="21"/>
        </w:rPr>
        <w:t>表7 UPA单流与双流结果</w:t>
      </w:r>
    </w:p>
    <w:tbl>
      <w:tblPr>
        <w:tblW w:type="auto" w:w="0"/>
        <w:jc w:val="center"/>
        <w:tblLayout w:type="fixed"/>
        <w:tblLook w:firstColumn="1" w:firstRow="1" w:lastColumn="0" w:lastRow="0" w:noHBand="0" w:noVBand="1" w:val="04A0"/>
      </w:tblPr>
      <w:tblGrid>
        <w:gridCol w:w="2948"/>
        <w:gridCol w:w="1587"/>
        <w:gridCol w:w="1587"/>
        <w:gridCol w:w="1587"/>
        <w:gridCol w:w="1587"/>
      </w:tblGrid>
      <w:tr>
        <w:trPr>
          <w:cantSplit/>
          <w:tblHeader/>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方法与链路</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LOS一流</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LOS两流</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混合一流</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0"/>
              </w:rPr>
              <w:t>混合两流</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HAQSE R3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177.53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321.11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172.91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309.44</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HAQSE R5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177.74</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321.91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173.88</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311.64</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DFT R3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161.03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268.83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157.72</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259.91</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DFT R5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163.61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275.75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160.86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272.17</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POS R3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177.77</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322.04</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172.65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308.19</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POS R5 CPU</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177.86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322.23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173.73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311.33</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HAQSE R3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177.93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321.77</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176.88</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316.98</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HAQSE R5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177.93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321.77</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176.90</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317.01</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DFT R3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177.63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320.71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176.51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316.48</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DFT R5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177.56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320.64</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176.53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316.68</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POS R3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177.97</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321.83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176.94</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317.06</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POS R5 UE</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177.97</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321.83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176.98</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317.06</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TypeI</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177.93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321.77</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176.71</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316.01</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TypeII</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177.96</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321.99</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177.89</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316.98</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0"/>
              </w:rPr>
              <w:t>SVD等功率参考</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191.75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341.15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192.43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center"/>
            </w:pPr>
            <w:r>
              <w:rPr>
                <w:rFonts w:ascii="宋体" w:hAnsi="宋体" w:eastAsia="宋体"/>
                <w:b w:val="0"/>
                <w:color w:val="000000"/>
                <w:sz w:val="20"/>
              </w:rPr>
              <w:t>340.94</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0"/>
              </w:rPr>
              <w:t>注水容量参考</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191.75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341.15</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192.43</w:t>
            </w:r>
          </w:p>
        </w:tc>
        <w:tc>
          <w:tcPr>
            <w:tcW w:type="dxa" w:w="1587"/>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center"/>
            </w:pPr>
            <w:r>
              <w:rPr>
                <w:rFonts w:ascii="宋体" w:hAnsi="宋体" w:eastAsia="宋体"/>
                <w:b w:val="0"/>
                <w:color w:val="000000"/>
                <w:sz w:val="20"/>
              </w:rPr>
              <w:t>340.94</w:t>
            </w:r>
          </w:p>
        </w:tc>
      </w:tr>
    </w:tbl>
    <w:p>
      <w:pPr>
        <w:spacing w:after="20"/>
      </w:pPr>
    </w:p>
    <w:p>
      <w:r>
        <w:t>本阵列所有方法在两种信道下的平均双流增量均为正，范围为102.19至144.37 Mbps。实际链路均保持两个非零接收模式，因此HAQSE、DFT、Type-I和Type-II也具备本次模型下的双极化双流可行性。</w:t>
      </w:r>
    </w:p>
    <w:p>
      <w:r>
        <w:t>UPA的所有可实施方法在LOS和混合信道下均为32/32个位置获得正的双流增量。CPU的DFT链路仍比其UE链路存在较大平均差距，与粗方向经定位后参与相干系数设计的敏感性一致；该观察不能替代对定位、极化和多径误差的独立因果分解。</w:t>
      </w:r>
    </w:p>
    <w:p>
      <w:r>
        <w:br w:type="page"/>
      </w:r>
    </w:p>
    <w:p>
      <w:pPr>
        <w:pStyle w:val="Heading1"/>
        <w:spacing w:after="200"/>
      </w:pPr>
      <w:r>
        <w:t>七 当前结论与复现入口</w:t>
      </w:r>
    </w:p>
    <w:p>
      <w:r>
        <w:t>本轮完成了全部原方法的最小补齐。共同可扩展部分是把AP的单流复系数改为2×Ns矩阵，使极化配比、跨AP相位和流间线性组合在同一低维有效信道上设计；各方法原有的频率、方向、位置或双波束消息仍各自保留。</w:t>
      </w:r>
    </w:p>
    <w:p>
      <w:r>
        <w:t>当前证据支持实现层面的双流双极化可行性：所有可实施配置满足同总功率和每AP功率约束，全部双流样本保持接收秩2，各方法平均速率相对单流均有增加。DFT CPU的少数负增量位置说明，实际是否发送两流仍与工作点及信道估计质量有关。UE系数来自观测有效信道，CPU系数依赖位置和标称极化模型，两者信息条件不同，应分别解读。</w:t>
      </w:r>
    </w:p>
    <w:p>
      <w:r>
        <w:t>验证仅限固定部署、32个位置、标称极化、窄带单用户和B为8的一个观测工作点。Type-II采用原复合双波束结构的最小扩展，Type-I/II未做完整标准符合性验证。未覆盖独立部署重复、宽带频率选择性、多用户干扰、移动跟踪或接收端信道估计误差。本报告不据此宣称任何方法最优；是否扩大性能对比范围，由后续研究目标决定。</w:t>
      </w:r>
    </w:p>
    <w:p>
      <w:pPr>
        <w:keepNext/>
        <w:spacing w:before="120" w:after="100"/>
      </w:pPr>
      <w:r>
        <w:rPr>
          <w:rFonts w:ascii="宋体" w:hAnsi="宋体" w:eastAsia="宋体"/>
          <w:b/>
          <w:color w:val="000000"/>
          <w:sz w:val="21"/>
        </w:rPr>
        <w:t>表8 复现文件</w:t>
      </w:r>
    </w:p>
    <w:tbl>
      <w:tblPr>
        <w:tblW w:type="auto" w:w="0"/>
        <w:jc w:val="center"/>
        <w:tblLayout w:type="fixed"/>
        <w:tblLook w:firstColumn="1" w:firstRow="1" w:lastColumn="0" w:lastRow="0" w:noHBand="0" w:noVBand="1" w:val="04A0"/>
      </w:tblPr>
      <w:tblGrid>
        <w:gridCol w:w="3685"/>
        <w:gridCol w:w="5613"/>
      </w:tblGrid>
      <w:tr>
        <w:trPr>
          <w:cantSplit/>
          <w:tblHeader/>
        </w:trPr>
        <w:tc>
          <w:tcPr>
            <w:tcW w:type="dxa" w:w="3685"/>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1"/>
              </w:rPr>
              <w:t>文件</w:t>
            </w:r>
          </w:p>
        </w:tc>
        <w:tc>
          <w:tcPr>
            <w:tcW w:type="dxa" w:w="561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8EEF4"/>
          </w:tcPr>
          <w:p>
            <w:pPr>
              <w:spacing w:after="0" w:line="264" w:lineRule="auto"/>
              <w:jc w:val="center"/>
            </w:pPr>
            <w:r>
              <w:rPr>
                <w:rFonts w:ascii="宋体" w:hAnsi="宋体" w:eastAsia="宋体"/>
                <w:b/>
                <w:color w:val="000000"/>
                <w:sz w:val="21"/>
              </w:rPr>
              <w:t>用途</w:t>
            </w:r>
          </w:p>
        </w:tc>
      </w:tr>
      <w:tr>
        <w:trPr>
          <w:cantSplit/>
        </w:trPr>
        <w:tc>
          <w:tcPr>
            <w:tcW w:type="dxa" w:w="3685"/>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verify_minimal_all_methods.m</w:t>
            </w:r>
          </w:p>
        </w:tc>
        <w:tc>
          <w:tcPr>
            <w:tcW w:type="dxa" w:w="561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检查Type-I/II单模式单极化退化一致性</w:t>
            </w:r>
          </w:p>
        </w:tc>
      </w:tr>
      <w:tr>
        <w:trPr>
          <w:cantSplit/>
        </w:trPr>
        <w:tc>
          <w:tcPr>
            <w:tcW w:type="dxa" w:w="3685"/>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run_minimal_all_methods.m</w:t>
            </w:r>
          </w:p>
        </w:tc>
        <w:tc>
          <w:tcPr>
            <w:tcW w:type="dxa" w:w="561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执行smoke和confirm 固定全部方法与样本</w:t>
            </w:r>
          </w:p>
        </w:tc>
      </w:tr>
      <w:tr>
        <w:trPr>
          <w:cantSplit/>
        </w:trPr>
        <w:tc>
          <w:tcPr>
            <w:tcW w:type="dxa" w:w="3685"/>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+min9/</w:t>
            </w:r>
          </w:p>
        </w:tc>
        <w:tc>
          <w:tcPr>
            <w:tcW w:type="dxa" w:w="561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参考方向消息 基线消息与整数解码</w:t>
            </w:r>
          </w:p>
        </w:tc>
      </w:tr>
      <w:tr>
        <w:trPr>
          <w:cantSplit/>
        </w:trPr>
        <w:tc>
          <w:tcPr>
            <w:tcW w:type="dxa" w:w="3685"/>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analyze_minimal_all_methods.py</w:t>
            </w:r>
          </w:p>
        </w:tc>
        <w:tc>
          <w:tcPr>
            <w:tcW w:type="dxa" w:w="561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独立解码审计 单双流逐样本配对</w:t>
            </w:r>
          </w:p>
        </w:tc>
      </w:tr>
      <w:tr>
        <w:trPr>
          <w:cantSplit/>
        </w:trPr>
        <w:tc>
          <w:tcPr>
            <w:tcW w:type="dxa" w:w="3685"/>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build_minimal_reports.py</w:t>
            </w:r>
          </w:p>
        </w:tc>
        <w:tc>
          <w:tcPr>
            <w:tcW w:type="dxa" w:w="561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由同一数据内容生成Markdown和Word</w:t>
            </w:r>
          </w:p>
        </w:tc>
      </w:tr>
      <w:tr>
        <w:trPr>
          <w:cantSplit/>
        </w:trPr>
        <w:tc>
          <w:tcPr>
            <w:tcW w:type="dxa" w:w="3685"/>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confirm/trials.csv与paired_summary.csv</w:t>
            </w:r>
          </w:p>
        </w:tc>
        <w:tc>
          <w:tcPr>
            <w:tcW w:type="dxa" w:w="561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B"/>
          </w:tcPr>
          <w:p>
            <w:pPr>
              <w:spacing w:after="0" w:line="264" w:lineRule="auto"/>
              <w:jc w:val="left"/>
            </w:pPr>
            <w:r>
              <w:rPr>
                <w:rFonts w:ascii="宋体" w:hAnsi="宋体" w:eastAsia="宋体"/>
                <w:b w:val="0"/>
                <w:color w:val="000000"/>
                <w:sz w:val="21"/>
              </w:rPr>
              <w:t>逐样本结果及同方法单双流均值</w:t>
            </w:r>
          </w:p>
        </w:tc>
      </w:tr>
      <w:tr>
        <w:trPr>
          <w:cantSplit/>
        </w:trPr>
        <w:tc>
          <w:tcPr>
            <w:tcW w:type="dxa" w:w="3685"/>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complete_audit.json与source_and_input_SHA256.json</w:t>
            </w:r>
          </w:p>
        </w:tc>
        <w:tc>
          <w:tcPr>
            <w:tcW w:type="dxa" w:w="5613"/>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spacing w:after="0" w:line="264" w:lineRule="auto"/>
              <w:jc w:val="left"/>
            </w:pPr>
            <w:r>
              <w:rPr>
                <w:rFonts w:ascii="宋体" w:hAnsi="宋体" w:eastAsia="宋体"/>
                <w:b w:val="0"/>
                <w:color w:val="000000"/>
                <w:sz w:val="21"/>
              </w:rPr>
              <w:t>验证范围 数值检查及源码输入校验</w:t>
            </w:r>
          </w:p>
        </w:tc>
      </w:tr>
    </w:tbl>
    <w:p>
      <w:pPr>
        <w:spacing w:after="20"/>
      </w:pPr>
    </w:p>
    <w:p>
      <w:r>
        <w:t>MATLAB R2024a进入第7目录，依次运行verify_minimal_all_methods、run_minimal_all_methods("smoke")和run_minimal_all_methods("confirm")；随后用含numpy、pandas、python-docx和Pillow的Python环境运行分析脚本，再运行报告构建脚本。沿用第6目录的冻结输入及算法依赖，既有+dmimo模块不作修改。</w:t>
      </w:r>
    </w:p>
    <w:p>
      <w:r>
        <w:t>Markdown与Word采用同一组说明、公式和数据表生成。Markdown中的表格可直接检索；Word中的数据表与核心公式可编辑，转发时无需依赖本地源文件。</w:t>
      </w:r>
    </w:p>
    <w:p>
      <w:r>
        <w:t>仓库入口 https://github.com/ttal6688/ZTE_codebokk</w:t>
      </w:r>
    </w:p>
    <w:sectPr w:rsidR="00FC693F" w:rsidRPr="0006063C" w:rsidSect="00034616">
      <w:footerReference w:type="default" r:id="rId9"/>
      <w:pgSz w:w="11906" w:h="16838"/>
      <w:pgMar w:top="1077" w:right="1247" w:bottom="1077" w:left="124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宋体" w:hAnsi="宋体" w:eastAsia="宋体"/>
      <w:color w:val="000000"/>
      <w:sz w:val="22"/>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Font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黑体" w:hAnsi="黑体" w:eastAsia="黑体"/>
      <w:color w:val="000000"/>
      <w:spacing w:val="5"/>
      <w:kern w:val="28"/>
      <w:sz w:val="40"/>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单流单极化预编码扩展为双流双极化的最小验证报告</dc:title>
  <dc:subject>固定32位置的九方法双极化双流可行性验证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