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402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404785156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Check-list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260253906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DE CESSÃO DE DIREITOS SOBRE PATENTE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(ICT e instituição privada ou pública, com a interveniência de Fundação de Apoio)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984375" w:line="240" w:lineRule="auto"/>
        <w:ind w:left="89.10003662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NUP: _______________________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9697265625" w:line="346.8483638763428" w:lineRule="auto"/>
        <w:ind w:left="78.58322143554688" w:right="63.345947265625" w:firstLine="2.97836303710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Contrato de cessão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Trata-se de uma das espécies de contrato que se incluem no gênero  transferência de tecnologia. Aplica-se, necessariamente, às hipóteses de cessão, em caráter definitivo,  de direitos sobre propriedade intelectual protegida (patentes depositadas e patentes já concedidas). Há duas hipóteses previstas na lei: a cessão ao criador, que se dará de forma não onerosa; e a cessão  a terceiros, que se dará de forma necessariamente remunerada.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491455078125" w:line="240" w:lineRule="auto"/>
        <w:ind w:left="90.9239196777343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single"/>
          <w:shd w:fill="auto" w:val="clear"/>
          <w:vertAlign w:val="superscript"/>
          <w:rtl w:val="0"/>
        </w:rPr>
        <w:t xml:space="preserve">Base legal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: Artigo 11 da Lei nº 10.973/2004 e art. 13 do Decreto 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º 9.283/18</w:t>
      </w:r>
    </w:p>
    <w:tbl>
      <w:tblPr>
        <w:tblStyle w:val="Table1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</w:tr>
      <w:tr>
        <w:trPr>
          <w:cantSplit w:val="0"/>
          <w:trHeight w:val="1049.20043945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PROVIDENCIADOS PELA ICT CEDENTE</w:t>
            </w:r>
          </w:p>
        </w:tc>
      </w:tr>
      <w:tr>
        <w:trPr>
          <w:cantSplit w:val="0"/>
          <w:trHeight w:val="17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6513366699" w:lineRule="auto"/>
              <w:ind w:left="88.34396362304688" w:right="1.134033203125" w:hanging="13.9535522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Abertura de processo administrativo devidamente autuado, protocolado e  numerado (Lei nº 9.784/1999, art. 22, § 4º c/c art. 38, caput, Lei 8.666/93). (Informar caso se trate de processo encaminhado via sistema eletrônico de  informações - SEI).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.3997192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2580032348633" w:lineRule="auto"/>
              <w:ind w:left="88.73275756835938" w:right="-0.8856201171875" w:hanging="14.74075317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para a contratação com demonstração do interesse público (art. 50, Lei nº 9.784/1999).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0505218506" w:lineRule="auto"/>
              <w:ind w:left="81.76071166992188" w:right="-1.458740234375" w:hanging="7.37030029296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Aprovação da contratação pelo órgão ou autoridade máxima da ICT (verificar a necessidade de solicitar a juntada de norma interna da ICT que disponha sobre delegação de competência para a prática deste ato).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1.99874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7911319732666" w:lineRule="auto"/>
              <w:ind w:left="84.1607666015625" w:right="-2.67578125" w:hanging="7.76870727539062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contemplando e especificando a situação de dispensa prevista no art.  24, XXV, da Lei nº 8.666/93, apresentando os elementos necessários à sua  configuração, naquilo que couber, conforme disposto no art. 26,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5156478881836"/>
                <w:szCs w:val="20.45156478881836"/>
                <w:u w:val="none"/>
                <w:shd w:fill="auto" w:val="clear"/>
                <w:vertAlign w:val="baseline"/>
                <w:rtl w:val="0"/>
              </w:rPr>
              <w:t xml:space="preserve">caput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, e parágrafo único da Lei nº 8.666/93.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.20005798339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29432487487793" w:lineRule="auto"/>
              <w:ind w:left="91.1328125" w:right="-1.458740234375" w:hanging="0.20889282226562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caso de cessão a terceiro, a contratação deverá ser precedida de ampla publicidade no sítio eletrônico oficial da ICT pública, na forma estabelecida em sua  política de inovação (art. 13, § 3º, do Decreto nº 9.283/2018).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406738281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</w:t>
      </w:r>
    </w:p>
    <w:tbl>
      <w:tblPr>
        <w:tblStyle w:val="Table2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773445129395" w:lineRule="auto"/>
              <w:ind w:left="84.1607666015625" w:right="-0.0457763671875" w:firstLine="6.763153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Exame e parecer técnico do Núcleo de Inovação Tecnológica – NIT (art. 16, §1º, IX e X da Lei nº 10.973/2004) a respeito da contratação.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0526542663574" w:lineRule="auto"/>
              <w:ind w:left="81.16317749023438" w:right="-0.496826171875" w:firstLine="0.39840698242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Comunicação à autoridade superior, no prazo de 3 (três) dias, do ato que autorizou a dispensa, para fins de ratificação e publicação na imprensa oficial, no  prazo de 5 (cinco) dias.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9920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Juntada de minuta de contrato.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91.1328125" w:right="-1.82861328125" w:hanging="0.20889282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Previsão, se for o caso, de recursos orçamentários, com indicação das respectivas rubricas.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45049476623535" w:lineRule="auto"/>
              <w:ind w:left="84.1607666015625" w:right="69.151611328125" w:firstLine="6.763153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Exame e aprovação da minuta de contrato pela Procuradoria Federal junto à entidade.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8002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OBTIDOS JUNTO AO(À) CESSIONÁRIO(A)</w:t>
            </w:r>
          </w:p>
        </w:tc>
      </w:tr>
      <w:tr>
        <w:trPr>
          <w:cantSplit w:val="0"/>
          <w:trHeight w:val="104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22218322754" w:lineRule="auto"/>
              <w:ind w:left="93.323974609375" w:right="-1.060791015625" w:hanging="11.76239013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requisitos de habilitação jurídica (art. 28, Lei nº 8.666/1993) – Inclusive para conferência dos poderes do representante do cessionário (art. 28, Lei nº 8.666/1993).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regularidade fiscal (Art. 12, § 5º, I, do Decreto 9.283/2018)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2506523132324" w:lineRule="auto"/>
              <w:ind w:left="88.34396362304688" w:right="1.2152099609375" w:hanging="13.9535522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Ato constitutivo da empresa ou ICT privada (estatuto ou contrato social em vigor)  (art. 28, inciso III, da Lei nº 8.666/1993); ou equivalente, se empresa estrangeira.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05371284484863" w:lineRule="auto"/>
              <w:ind w:left="84.1607666015625" w:right="-0.3381347656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do representante legal do cessionário – pessoa que assinará o contrato (RG, CPF e Comprovante de Residência + Ata de Nomeação, Termo de Posse ou documentos correlatos, no caso de entidade estrangeira).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84.1607666015625" w:right="-1.2548828125" w:hanging="2.5991821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inscrição no Cadastro Nacional da Pessoa Jurídica – CNPJ, se empresa nacional.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9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45126724243164" w:lineRule="auto"/>
              <w:ind w:left="172.93212890625" w:right="86.77490234375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OBTIDOS JUNTO À FUNDAÇÃO DE APOIO (se houver interveniência da  FA)</w:t>
            </w:r>
          </w:p>
        </w:tc>
      </w:tr>
      <w:tr>
        <w:trPr>
          <w:cantSplit w:val="0"/>
          <w:trHeight w:val="20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904113769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Ato de constituição/ habilitação jurídica (art. 28, Lei nº 8.666/1993)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8.7335205078125" w:line="346.84887886047363" w:lineRule="auto"/>
              <w:ind w:left="84.1607666015625" w:right="-2.65197753906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Estatuto social da Fundação de Apoio, comprovando finalidade não lucrativa e de ser incumbida, regimental ou estatutariamente, da pesquisa, do ensino ou do desenvolvimento institucional, científico e tecnológico.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04992294311523" w:lineRule="auto"/>
              <w:ind w:left="78.58322143554688" w:right="-0.621337890625" w:firstLine="12.340698242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do Responsável Legal da FUNDAÇÃO DE APOIO – pessoa que irá assinar o Termo (RG, CPF e Comprovante de Residência + Ata de Nomeação,  Termo de Posse ou documento correlato).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402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tbl>
      <w:tblPr>
        <w:tblStyle w:val="Table3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13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3638763428" w:lineRule="auto"/>
              <w:ind w:left="84.75845336914062" w:right="0.513916015625" w:firstLine="6.1654663085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Registro e credenciamento junto ao MEC/MCTI e autorização para apoiar, em  sendo o caso (art. 4º, §2º, Decreto nº 7.423/2010, art. 4º, I, Portaria Interministerial  MEC/MCTI nº 191, de 13 de março de 2012 e art. 2º, III, Lei nº 8.958/1994)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9920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para a contratação (caso exista mais que uma Fundação)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3638763428" w:lineRule="auto"/>
              <w:ind w:left="84.1607666015625" w:right="5.5676269531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Proposta da Fundação de Apoio, demonstrando os seus serviços de apoio,  contendo, inclusive, a planilha demonstrativa dos seus custos operacionais  incorridos na execução de suas atividades.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3638763428" w:lineRule="auto"/>
              <w:ind w:left="84.1607666015625" w:right="-2.36389160156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Plano de Trabalho, contemplando os requisitos mínimos previstos no § 1º do art. 6º do Decreto nº 7.423/10, bem ainda os §§ 2º a 13 do referido dispositivo, no  que couber.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84.1607666015625" w:right="-2.2894287109375" w:firstLine="6.763153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Declaração de reputação ético-profissional (art. 24, XIII, Lei nº 8.666/93) e de capacidade técnica-financeira para bem executar o objeto contratado.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da regularidade fiscal e trabalhista (art. 29, Lei nº 8.666/1993)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Consulta aos sistemas de penalidades – CEIS, CNJ e TCU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Consulta ao CADIN (art. 6º, Lei nº 10.522/2002)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76.02005004882812" w:right="88.099365234375" w:firstLine="2.2799682617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OBS. 1) CABE ÀS DIRETORIAS,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highlight w:val="white"/>
          <w:u w:val="none"/>
          <w:vertAlign w:val="baseline"/>
          <w:rtl w:val="0"/>
        </w:rPr>
        <w:t xml:space="preserve">NITs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E/OU ÁREAS TÉCNICAS OBSERVAR SE, ALÉM DOS DOCUMENTOS ORA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ARROLADOS, OUTROS SÃO NECESSÁRIOS PARA COMPLEMENTAR A INSTRUÇÃO PROCESSUAL. (Esses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documentos dependem de cada caso concreto e da regulamentação interna da Instituição, especialmente da respectiva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Política de Inovação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highlight w:val="white"/>
          <w:u w:val="none"/>
          <w:vertAlign w:val="baseline"/>
          <w:rtl w:val="0"/>
        </w:rPr>
        <w:t xml:space="preserve">art. 6º, caput do Decreto n º 7.423/10).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9619140625" w:line="231.48638248443604" w:lineRule="auto"/>
        <w:ind w:left="74.94003295898438" w:right="87.559814453125" w:firstLine="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OBS. 2) A AUSÊNCIA DE QUALQUER DOS DOCUMENTOS LISTADOS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DEVERÁ SER  JUSTIFICADA PELA AUTORIDADE COMPETENTE.</w:t>
      </w:r>
    </w:p>
    <w:sectPr>
      <w:pgSz w:h="16840" w:w="11900" w:orient="portrait"/>
      <w:pgMar w:bottom="950.3996276855469" w:top="714.998779296875" w:left="1344.47998046875" w:right="991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