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77.119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81000" cy="45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6.8533325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ADVOCACIA-GERAL DA UNIÃO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4.02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PROCURADORIA-GERAL FEDERAL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9404296875" w:line="240" w:lineRule="auto"/>
        <w:ind w:left="4245.13122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Check-list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0" w:lineRule="auto"/>
        <w:ind w:left="2234.080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LICENCIAMENTO PARA EXPLORAÇÃO DE PATENTE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290.6799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DO PEDIDO DE PATENTE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203125" w:line="240" w:lineRule="auto"/>
        <w:ind w:left="18.5472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NUP: _______________________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26220703125" w:line="282.76768684387207" w:lineRule="auto"/>
        <w:ind w:left="10.377655029296875" w:right="203.84033203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single"/>
          <w:vertAlign w:val="baseline"/>
          <w:rtl w:val="0"/>
        </w:rPr>
        <w:t xml:space="preserve">Contrato de Licenciamento para Exploração de Patentes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é o instrumento jurídico pelo qual o titular de patente (ou depositante do pedido de patente no INPI) outorga à terceiro o direito de uso e exploração da invenção.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78173828125" w:line="243.38141441345215" w:lineRule="auto"/>
        <w:ind w:left="11.48162841796875" w:right="157.318115234375" w:firstLine="7.06558227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Base Normativa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Artigo 6º e 7º da Lei nº 10.973/04; artigos 11 e 12 do Decreto nº 9.283/2018; Artigos 61,  62 e 63 da Lei n. 9.279/96 (LPI); Instrução Normativa INPI/PR n. 070, de 11 de abril de 2017; e Resolução  INPI/PR n. 199, de 07 de julho de 2017.</w:t>
      </w:r>
    </w:p>
    <w:tbl>
      <w:tblPr>
        <w:tblStyle w:val="Table1"/>
        <w:tblW w:w="9570.320434570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.6000061035156"/>
        <w:gridCol w:w="8466.320037841797"/>
        <w:gridCol w:w="710.400390625"/>
        <w:tblGridChange w:id="0">
          <w:tblGrid>
            <w:gridCol w:w="393.6000061035156"/>
            <w:gridCol w:w="8466.320037841797"/>
            <w:gridCol w:w="710.400390625"/>
          </w:tblGrid>
        </w:tblGridChange>
      </w:tblGrid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</w:t>
            </w:r>
          </w:p>
        </w:tc>
      </w:tr>
      <w:tr>
        <w:trPr>
          <w:cantSplit w:val="0"/>
          <w:trHeight w:val="741.60034179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3b3b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3b3b3" w:val="clear"/>
                <w:vertAlign w:val="baseline"/>
                <w:rtl w:val="0"/>
              </w:rPr>
              <w:t xml:space="preserve">DOCUMENTOS PRODUZIDOS PELO ENTE PÚBLICO</w:t>
            </w:r>
          </w:p>
        </w:tc>
      </w:tr>
      <w:tr>
        <w:trPr>
          <w:cantSplit w:val="0"/>
          <w:trHeight w:val="74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83.36395263671875" w:right="19.771728515625" w:firstLine="7.7688598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Nota/Parecer Técnico da área finalística, que apresente o mérito administrativo, com aprovação da  autoridade superior (CONFORME REGULAMENTAÇÃO INTERNA)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Justificativa da autoridade competente, em caso de dispensa de licitação.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513870239258" w:lineRule="auto"/>
              <w:ind w:left="83.36395263671875" w:right="21.9189453125" w:firstLine="7.768859863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Extrato da oferta tecnológica no sítio eletrônico oficial da ICT pública, caso haja cláusula de  exclusividade; sendo dispensável nos casos de desenvolvimento conjunto com empresa, devendo ser  estabelecida em convênio ou contrato a forma de remuneração.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.0146484375" w:line="245.68482398986816" w:lineRule="auto"/>
              <w:ind w:left="89.34005737304688" w:right="24.520263671875" w:firstLine="0.3984069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*Os contratos de licenciamento sem cláusula de exclusividade ao receptor de tecnologia ou ao  licenciado, poderão ser firmados diretamente, na forma do regulamento interno.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.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Minuta do Contrato de Licenciamento para Exploração de Patente*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98588943481445" w:lineRule="auto"/>
              <w:ind w:left="83.36395263671875" w:right="21.605224609375" w:firstLine="0.398406982421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Caso haja alteração da minuta-padrão disponibilizada pela Procuradoria Federal, a ICT deverá apontar  na minuta encaminhada para análise quais itens foram inseridos, modificados ou excluídos e apresentar  as justificativas na nota técnica.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3.9999389648438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3b3b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3b3b3" w:val="clear"/>
                <w:vertAlign w:val="baseline"/>
                <w:rtl w:val="0"/>
              </w:rPr>
              <w:t xml:space="preserve">DOCUMENTOS A SEREM OBTIDOS JUNTO AO PARCEIRO PRIVADO</w:t>
            </w:r>
          </w:p>
        </w:tc>
      </w:tr>
      <w:tr>
        <w:trPr>
          <w:cantSplit w:val="0"/>
          <w:trHeight w:val="986.39984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587127685547" w:lineRule="auto"/>
              <w:ind w:left="82.36801147460938" w:right="21.163330078125" w:firstLine="8.7648010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Documento social da entidade parceira – documento idôneo (ato constitutivo, estatuto ou contrato  social em vigor)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6.32019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8047637939453" w:lineRule="auto"/>
              <w:ind w:left="83.36395263671875" w:right="20.126953125" w:firstLine="0.398406982421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Cópia dos documentos do Responsável Legal pela Entidade – pessoa que irá assinar o Contrato (RG, CPF  e Comprovante de Residência + Ata de Nomeação/Procuração, Termo de Posse ou documento que  demonstre a legitimidade para assinar o Contrato)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6788024902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623596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Cópia dos documentos das Testemunhas – RG, CPF e Comprovante de Residência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1168823242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623596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Comprovante de inscrição no Cadastro Nacional da Pessoa Jurídica - CNPJ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77.119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81000" cy="45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6.8533325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ADVOCACIA-GERAL DA UNIÃO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4.02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PROCURADORIA-GERAL FEDERAL </w:t>
      </w:r>
    </w:p>
    <w:tbl>
      <w:tblPr>
        <w:tblStyle w:val="Table2"/>
        <w:tblW w:w="9570.320434570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.6000061035156"/>
        <w:gridCol w:w="8466.320037841797"/>
        <w:gridCol w:w="710.400390625"/>
        <w:tblGridChange w:id="0">
          <w:tblGrid>
            <w:gridCol w:w="393.6000061035156"/>
            <w:gridCol w:w="8466.320037841797"/>
            <w:gridCol w:w="710.400390625"/>
          </w:tblGrid>
        </w:tblGridChange>
      </w:tblGrid>
      <w:tr>
        <w:trPr>
          <w:cantSplit w:val="0"/>
          <w:trHeight w:val="25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552795410156" w:lineRule="auto"/>
              <w:ind w:left="77.5872802734375" w:right="20.906982421875" w:firstLine="13.545532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Declaração de que no quadro social da entidade não há integrante que tenha Conflito de Interesse, nos  termos da Lei nº 12.813/13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531036376953" w:lineRule="auto"/>
              <w:ind w:left="83.16482543945312" w:right="32.889404296875" w:firstLine="0.5975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Cópia de documento que comprove que a entidade funciona no endereço por ela declarado, como  conta de consumo ou contrato de locação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3b3b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3b3b3" w:val="clear"/>
                <w:vertAlign w:val="baseline"/>
                <w:rtl w:val="0"/>
              </w:rPr>
              <w:t xml:space="preserve">DOCUMENTOS A SEREM OBTIDOS JUNTO À FUNDAÇÃO DE APOIO</w:t>
            </w:r>
          </w:p>
        </w:tc>
      </w:tr>
      <w:tr>
        <w:trPr>
          <w:cantSplit w:val="0"/>
          <w:trHeight w:val="49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623596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Credenciamento junto ao MEC e MCTIC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08012390137" w:lineRule="auto"/>
              <w:ind w:left="89.34005737304688" w:right="20.82275390625" w:firstLine="1.7927551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Estatuto social da Fundação de Apoio, comprovando finalidade não lucrativa e assegurando que os  membros dos seus conselhos não são remunerados pelo exercício de suas funções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08012390137" w:lineRule="auto"/>
              <w:ind w:left="89.34005737304688" w:right="25.308837890625" w:firstLine="1.7927551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Demonstrações contábeis do último exercício fiscal, atestando sua regularidade financeira e  patrimonial, acompanhadas de parecer de auditoria independente.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8087692260742" w:lineRule="auto"/>
              <w:ind w:left="87.3480224609375" w:right="26.91162109375" w:hanging="9.561614990234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Avaliação de desempenho, aprovada pelo órgão colegiado superior da instituição apoiada, baseada em  indicadores e parâmetros objetivos, demonstrando os ganhos de eficiência obtidos na gestão de  projetos realizados com a colaboração das fundações de apoio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8146324157715" w:lineRule="auto"/>
        <w:ind w:left="9.561614990234375" w:right="163.282470703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OBS 1: CABE ÀS ÁREAS COMPETENTES OBSERVAR SE, ALÉM DOS DOCUMENTOS ACIMA LISTADOS, providenciar  OUTROS NECESSÁRIOS Á INSTRUÇÃO PROCESSUAL. (Esses documentos dependem de cada caso e da  regulamentação interna da instituição).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48291015625" w:line="243.27627182006836" w:lineRule="auto"/>
        <w:ind w:left="16.7327880859375" w:right="163.824462890625" w:hanging="7.17117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OBS 2: A AUSÊNCIA DE QUALQUER DOS DOCUMENTOS LISTADOS NO CHECK-LIST DEVERÁ SER JUSTIFICADA PELA  DIRETORIA COMPETENTE.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146728515625" w:line="242.0716667175293" w:lineRule="auto"/>
        <w:ind w:left="16.7327880859375" w:right="165.960693359375" w:hanging="7.171173095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843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OBS 3: SE ALGUMA DAS PARTES CONTRATANTES RESIDIR NO EXTERIOR SERÁ NECESSÁRIO CONSTITUIR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PROCURADOR NO BRASIL COM PODERES PARA REPRESENTÁ-LA JUDICIAL E ADMINISTRATIVAMENTE, INCLUSIVE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PARA RECEBER CITAÇÕES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843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146240234375" w:line="245.68482398986816" w:lineRule="auto"/>
        <w:ind w:left="6.9720458984375" w:right="162.716064453125" w:firstLine="2.58956909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OBS 4: O CONTRATO DE LICENÇA SOMENTE PRODUZIRÁ EFEITOS EM RELAÇÃO A TERCEIROS SE AVERBADO NO INPI,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SENDO DISPENSÁVEL PARA EFEITO DE VALIDADE DE PROVA DE USO, O CONTRATO DE LICENÇA NÃO PRECISARÁ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ESTAR AVERBADO NO INPI.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158447265625" w:line="244.88182067871094" w:lineRule="auto"/>
        <w:ind w:left="9.362335205078125" w:right="165.841064453125" w:firstLine="0.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OBS 5: A AVERBAÇÃO DO CONTRATO DE LICENÇA TAMBÉM LEGITIMA AS REMESSAS DE DIVISAS AO EXTERIOR,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COMO PAGAMENTO PELA TECNOLOGIA NEGOCIADA; E PERMITE A DEDUTIBILIDADE FISCAL, QUANDO FOR O CASO, PARA A EMPRESA RECEPTORA DA TECNOLOGIA 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IMPORTÂNCIAS PAGAS A TÍTULO DE ROYALTIES E ASSISTÊNCIA TÉCNICA.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08135986328125" w:line="245.68448066711426" w:lineRule="auto"/>
        <w:ind w:left="16.7327880859375" w:right="163.18603515625" w:hanging="7.17117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OBS 6: CASO A ICT DECIDA PELA AVERBAÇÃO DO CONTRATO, DEVERÁ SEGUIR AS DIRETRIZES INDICADAS PELO INPI  NA RESOLUÇÃO INPI/PR Nº 199, DE 7 DE JULHO DE 2017.</w:t>
      </w:r>
    </w:p>
    <w:sectPr>
      <w:pgSz w:h="16840" w:w="11900" w:orient="portrait"/>
      <w:pgMar w:bottom="1245.599594116211" w:top="707.999267578125" w:left="1418.8800048828125" w:right="917.1997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