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402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404785156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Check-list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26025390625" w:line="340.5274200439453" w:lineRule="auto"/>
        <w:ind w:left="410.40008544921875" w:right="383.760986328125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DE TRANSFERÊNCIA DE TECNOLOGIA NÃO PATENTEADA, NÃO  PATENTEÁVEL OU DE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640439987182617"/>
          <w:szCs w:val="24.640439987182617"/>
          <w:u w:val="none"/>
          <w:shd w:fill="auto" w:val="clear"/>
          <w:vertAlign w:val="baseline"/>
          <w:rtl w:val="0"/>
        </w:rPr>
        <w:t xml:space="preserve">KNOW -HOW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916503906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(ICT e instituição privada ou pública, com ou sem a interveniência de Fundação de Apoio)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32763671875" w:line="240" w:lineRule="auto"/>
        <w:ind w:left="89.10003662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NUP: _______________________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4091796875" w:line="343.79058837890625" w:lineRule="auto"/>
        <w:ind w:left="81.56158447265625" w:right="62.6806640625" w:hanging="2.59918212890625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Contrato de transferência de tecnologia não patenteada, não patenteável ou de Know-how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Trata-se  de uma das espécies de contratos de transferência de tecnologia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  <w:rtl w:val="0"/>
        </w:rPr>
        <w:t xml:space="preserve">stricto sensu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Segundo a doutrina, é  o instrumento jurídico que visa a aquisição de conhecimentos tecnológicos não patenteados, ou não  patenteáveis, que não envolvem direitos de propriedade industrial e que são comumente conhecidos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097412109375" w:line="240" w:lineRule="auto"/>
        <w:ind w:left="84.16076660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.45156478881836"/>
          <w:szCs w:val="20.45156478881836"/>
          <w:u w:val="none"/>
          <w:shd w:fill="auto" w:val="clear"/>
          <w:vertAlign w:val="baseline"/>
          <w:rtl w:val="0"/>
        </w:rPr>
        <w:t xml:space="preserve">KNOW-HOW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460693359375" w:line="240" w:lineRule="auto"/>
        <w:ind w:left="90.9239196777343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Base legal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Artigo 6º da Lei nº 10.973/2004 e arts. 11 e 12 do Decreto nº 9.283/18</w:t>
      </w:r>
    </w:p>
    <w:tbl>
      <w:tblPr>
        <w:tblStyle w:val="Table1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35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</w:t>
            </w:r>
          </w:p>
        </w:tc>
      </w:tr>
      <w:tr>
        <w:trPr>
          <w:cantSplit w:val="0"/>
          <w:trHeight w:val="1046.40075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PROVIDENCIADOS PELA ICT</w:t>
            </w:r>
          </w:p>
        </w:tc>
      </w:tr>
      <w:tr>
        <w:trPr>
          <w:cantSplit w:val="0"/>
          <w:trHeight w:val="13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5872402191162" w:lineRule="auto"/>
              <w:ind w:left="88.34396362304688" w:right="1.7138671875" w:hanging="13.9535522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Abertura do processo administrativo devidamente autuado, protocolado e  numerado (Lei nº 9.784/1999, art. 22, § 4º c/c art. 38,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5156478881836"/>
                <w:szCs w:val="20.45156478881836"/>
                <w:u w:val="none"/>
                <w:shd w:fill="auto" w:val="clear"/>
                <w:vertAlign w:val="baseline"/>
                <w:rtl w:val="0"/>
              </w:rPr>
              <w:t xml:space="preserve">caput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, da Lei 8.666/93) (informar caso se trate de processo remetido via sistema eletrônico de  informações – SEI)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91.1328125" w:right="-2.159423828125" w:hanging="17.14080810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para a contratação com demonstração do interesse público (art. 50, Lei nº 9.784/1999)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0531692504883" w:lineRule="auto"/>
              <w:ind w:left="84.1607666015625" w:right="-0.4107666015625" w:hanging="9.77035522460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Aprovação da contratação pela autoridade máxima da ICT (verificar a necessidade de solicitar a juntada de norma interna da ICT que disponha sobre delegação de competência para a prática deste 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87886047363" w:lineRule="auto"/>
              <w:ind w:left="76.19277954101562" w:right="-0.357666015625" w:firstLine="17.1311950683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Exame e parecer técnico do Núcleo de Inovação Tecnológica – NIT (art. 16, §1º, VIII, IX, e X, da Lei nº 10.973/2004)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.1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3824768066406" w:lineRule="auto"/>
              <w:ind w:left="84.1607666015625" w:right="-3.0718994140625" w:hanging="10.16876220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contemplando a situação de dispensa prevista no art. 24, inciso XXV, da Lei nº 8.666/93, evidenciando os elementos necessários à sua configuração, naquilo que couber, conforme art. 26,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5156478881836"/>
                <w:szCs w:val="20.45156478881836"/>
                <w:u w:val="none"/>
                <w:shd w:fill="auto" w:val="clear"/>
                <w:vertAlign w:val="baseline"/>
                <w:rtl w:val="0"/>
              </w:rPr>
              <w:t xml:space="preserve">caput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, e parágrafo único da Lei nº 8.666/93.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Comunicação à autoridade superior, no prazo de 3 (três) dias, do ato 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4067382812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</w:t>
      </w:r>
    </w:p>
    <w:tbl>
      <w:tblPr>
        <w:tblStyle w:val="Table2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773445129395" w:lineRule="auto"/>
              <w:ind w:left="91.1328125" w:right="7.1551513671875" w:hanging="7.5695800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autorizou a dispensa, para fins de ratificação e publicação na imprensa oficial, no  prazo de 5(cinco) dias.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651424407959" w:lineRule="auto"/>
              <w:ind w:left="81.56158447265625" w:right="-1.0821533203125" w:hanging="2.40005493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Caso a contratação preveja cláusula de exclusividade, informar se houve a publicação prévia de extrato de oferta tecnológica em sítio eletrônico oficial da ICT e se foram atendidos os §§ 1º, 4º, 6º, 7º e 8º do art. 12 do Decreto nº  9.283/18.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23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Plano de Trabalho, no que couber (art. 116, §1º, Lei nº 8.666/1993).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25631523132324" w:lineRule="auto"/>
              <w:ind w:left="93.323974609375" w:right="66.81640625" w:hanging="2.40005493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Exame e aprovação da minuta de contrato pela Procuradoria Federal junto à Entidade (art. 38, parágrafo único, Lei 8.666/1993)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5148162841797" w:lineRule="auto"/>
              <w:ind w:left="91.1328125" w:right="1.3916015625" w:hanging="0.20889282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Previsão, se for o caso, de recursos orçamentários, com indicação das respectivas  rubricas (arts. 7º, § 2º, III, 14 e 38,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45156478881836"/>
                <w:szCs w:val="20.45156478881836"/>
                <w:u w:val="none"/>
                <w:shd w:fill="auto" w:val="clear"/>
                <w:vertAlign w:val="baseline"/>
                <w:rtl w:val="0"/>
              </w:rPr>
              <w:t xml:space="preserve">caput,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 Lei nº 8.666/93)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7996826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OBTIDOS JUNTO À EMPRESA OU ICT PRIVADA</w:t>
            </w:r>
          </w:p>
        </w:tc>
      </w:tr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2586040496826" w:lineRule="auto"/>
              <w:ind w:left="93.52325439453125" w:right="68.2110595703125" w:hanging="11.9616699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requisitos de habilitação jurídica (art. 28, Lei nº 8.666/1993) – Inclusive para conferência dos poderes do representante da empresa contratante.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regularidade fiscal (art. 12, § 5º, I, do Decreto nº 9.283/18)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88.34396362304688" w:right="1.888427734375" w:hanging="13.9535522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Ato constitutivo da empresa ou ICT privada (estatuto ou contrato social em vigor)  (art. 28, inciso III, da Lei nº 8.666/1993); ou equivalente, se empresa estrangeira.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84.1607666015625" w:right="-2.41210937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relativa ao responsável legal da empresa ou ICT privada - pessoa que irá assinar o Termo (RG, CPF e Comprovante de Residência + Ata de  Nomeação, Termo de Posse ou documentos correlatos, no caso de entidade estrangeira).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.39849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7.45158195495605" w:lineRule="auto"/>
              <w:ind w:left="84.1607666015625" w:right="-1.2548828125" w:hanging="2.5991821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de inscrição no Cadastro Nacional da Pessoa Jurídica – CNPJ, se empresa nacional.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.401184082031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87886047363" w:lineRule="auto"/>
              <w:ind w:left="139.33212280273438" w:right="50.565185546875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DOCUMENTOS A SEREM OBTIDOS JUNTO À FUNDAÇÃO DE APOIO ( se houver interveniência da  FA)</w:t>
            </w:r>
          </w:p>
        </w:tc>
      </w:tr>
      <w:tr>
        <w:trPr>
          <w:cantSplit w:val="0"/>
          <w:trHeight w:val="2085.9988403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904113769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Ato de constituição/ habilitação jurídica (art. 28, Lei nº 8.666/1993)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3.5337829589844" w:line="347.04992294311523" w:lineRule="auto"/>
              <w:ind w:left="84.1607666015625" w:right="-1.41113281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Estatuto social da Fundação de Apoio, comprovando finalidade não lucrativa e de ser incumbida, regimental ou estatutariamente, da pesquisa, do ensino ou do  desenvolvimento institucional, científico e tecnológico.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0210" cy="44958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ADVOCACIA-GERAL DA UNIÃO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402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PROCURADORIA-GERAL FEDERAL </w:t>
      </w:r>
    </w:p>
    <w:tbl>
      <w:tblPr>
        <w:tblStyle w:val="Table3"/>
        <w:tblW w:w="9570.319824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.6000061035156"/>
        <w:gridCol w:w="7758.320159912109"/>
        <w:gridCol w:w="1418.399658203125"/>
        <w:tblGridChange w:id="0">
          <w:tblGrid>
            <w:gridCol w:w="393.6000061035156"/>
            <w:gridCol w:w="7758.320159912109"/>
            <w:gridCol w:w="1418.399658203125"/>
          </w:tblGrid>
        </w:tblGridChange>
      </w:tblGrid>
      <w:tr>
        <w:trPr>
          <w:cantSplit w:val="0"/>
          <w:trHeight w:val="13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3638763428" w:lineRule="auto"/>
              <w:ind w:left="83.563232421875" w:right="-0.55419921875" w:firstLine="7.36068725585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Documentação do responsável legal da FUNDAÇÃO DE APOIO – pessoa que irá assinar o instrumento contratual (RG, CPF e Comprovante de Residência + Ata de  Nomeação, Termo de Posse ou documento correlato).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3638763428" w:lineRule="auto"/>
              <w:ind w:left="87.3480224609375" w:right="-2.047119140625" w:firstLine="3.575897216796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Registro e credenciamento junto ao MEC/MCTI ou autorização para apoiar (art. 4º, §2º, Decreto nº 7.423/2010, art. 4º, I, Portaria Interministerial MEC/MCTI nº 191, de 13 de março de 2012 e art. 2º, III, Lei nº 8.958/1994).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39205932617188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Justificativa para a contratação (caso exista mais que uma Fundação de apoio)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773445129395" w:lineRule="auto"/>
              <w:ind w:left="84.1607666015625" w:right="5.130615234375" w:firstLine="9.16320800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Declaração de reputação ético-profissional (art. 24, XIII, Lei nº 8.666/93) e de  capacidade técnica-financeira para bem executar o objeto contratado.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615844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Comprovação da regularidade fiscal e trabalhista (art. 29, Lei nº 8.666/1993).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.0526542663574" w:lineRule="auto"/>
              <w:ind w:left="84.1607666015625" w:right="-1.437377929687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Proposta da Fundação de Apoio, demonstrando os serviços de apoio a serem contratados, contendo, inclusive, a planilha demonstrativa dos seus custos  operacionais incorridos na execução de suas atividades.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9422454834" w:lineRule="auto"/>
              <w:ind w:left="84.1607666015625" w:right="-2.3638916015625" w:firstLine="6.763153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Plano de Trabalho, contemplando os requisitos mínimos previstos no § 1º do art. 6º do Decreto nº 7.423/10, bem ainda os §§ 2º a 13 do referido dispositivo, no  que couber.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2580032348633" w:lineRule="auto"/>
              <w:ind w:left="85.55526733398438" w:right="0.758056640625" w:hanging="1.5936279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Consulta aos sistemas de penalidades – CEIS, CNJ e TCU e consulta ao CADIN (art.  6º, Lei nº 10.522/2002).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76.02005004882812" w:right="88.099365234375" w:firstLine="2.27996826171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OBS. 1) CABE ÀS DIRETORIAS, NITs E/OU ÁREAS TÉCNICAS OBSERVAR SE, ALÉM DOS DOCUMENTOS ORA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ARROLADOS, OUTROS SERÃO NECESSÁRIOS PARA COMPLEMENTAR A INSTRUÇÃO PROCESSUAL. (Esses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documentos dependerão de cada caso concreto e da regulamentação interna da Instituição, especialmente da respectiva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Política de Inovação).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9619140625" w:line="231.48638248443604" w:lineRule="auto"/>
        <w:ind w:left="74.94003295898438" w:right="87.559814453125" w:firstLine="3.359985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OBS. 2) A AUSÊNCIA DE QUALQUER DOS DOCUMENTOS LISTADOS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DEVERÁ SER  JUSTIFICADA PELA AUTORIDADE COMPETENTE.</w:t>
      </w:r>
    </w:p>
    <w:sectPr>
      <w:pgSz w:h="16840" w:w="11900" w:orient="portrait"/>
      <w:pgMar w:bottom="962.4008178710938" w:top="714.998779296875" w:left="1344.47998046875" w:right="991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