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line="308.16" w:lineRule="auto"/>
        <w:rPr/>
      </w:pPr>
      <w:bookmarkStart w:colFirst="0" w:colLast="0" w:name="_mpbn8bdsj9aj" w:id="0"/>
      <w:bookmarkEnd w:id="0"/>
      <w:r w:rsidDel="00000000" w:rsidR="00000000" w:rsidRPr="00000000">
        <w:rPr>
          <w:rtl w:val="0"/>
        </w:rPr>
        <w:t xml:space="preserve">DBT_type_2.csv</w:t>
      </w:r>
    </w:p>
    <w:p w:rsidR="00000000" w:rsidDel="00000000" w:rsidP="00000000" w:rsidRDefault="00000000" w:rsidRPr="00000000" w14:paraId="00000002">
      <w:pPr>
        <w:spacing w:line="308.1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Variables: </w:t>
      </w:r>
    </w:p>
    <w:p w:rsidR="00000000" w:rsidDel="00000000" w:rsidP="00000000" w:rsidRDefault="00000000" w:rsidRPr="00000000" w14:paraId="00000003">
      <w:pPr>
        <w:spacing w:line="308.1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8.16" w:lineRule="auto"/>
        <w:ind w:left="720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    Event (Condition):</w:t>
      </w:r>
    </w:p>
    <w:p w:rsidR="00000000" w:rsidDel="00000000" w:rsidP="00000000" w:rsidRDefault="00000000" w:rsidRPr="00000000" w14:paraId="00000005">
      <w:pPr>
        <w:spacing w:line="308.16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patients with Diagnosis of Type 2 Diabetes in individuals aged 18 years and older.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Clinical Variables: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First laboratory result of HbA1c, cholesterol, glycemia, homocysteine, triglycerides, and creatinine, collected within 90 days after the event (condition).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Outcomes: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Stroke, heart failure, and chronic kidney failure, assessed up to 10 years after the event (condition).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lineRule="auto"/>
        <w:ind w:left="144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Emergency department visits, assessed up to 1 year after the event.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lineRule="auto"/>
        <w:ind w:left="144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Behavioral Factors:</w:t>
        <w:br w:type="textWrapping"/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Year of birth, sex at birth.</w:t>
      </w:r>
    </w:p>
    <w:p w:rsidR="00000000" w:rsidDel="00000000" w:rsidP="00000000" w:rsidRDefault="00000000" w:rsidRPr="00000000" w14:paraId="0000000B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spacing w:after="240" w:lineRule="auto"/>
        <w:rPr/>
      </w:pPr>
      <w:bookmarkStart w:colFirst="0" w:colLast="0" w:name="_y6wj0owkf1nu" w:id="1"/>
      <w:bookmarkEnd w:id="1"/>
      <w:r w:rsidDel="00000000" w:rsidR="00000000" w:rsidRPr="00000000">
        <w:rPr>
          <w:rtl w:val="0"/>
        </w:rPr>
        <w:t xml:space="preserve">ED_visit.csv</w:t>
      </w:r>
    </w:p>
    <w:p w:rsidR="00000000" w:rsidDel="00000000" w:rsidP="00000000" w:rsidRDefault="00000000" w:rsidRPr="00000000" w14:paraId="0000000D">
      <w:pPr>
        <w:spacing w:after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Event: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Patient admission to the ED, 65 years or older</w:t>
      </w:r>
    </w:p>
    <w:p w:rsidR="00000000" w:rsidDel="00000000" w:rsidP="00000000" w:rsidRDefault="00000000" w:rsidRPr="00000000" w14:paraId="0000000E">
      <w:pPr>
        <w:spacing w:after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Outcome: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Hospital admission (Yes/No)</w:t>
      </w:r>
    </w:p>
    <w:p w:rsidR="00000000" w:rsidDel="00000000" w:rsidP="00000000" w:rsidRDefault="00000000" w:rsidRPr="00000000" w14:paraId="0000000F">
      <w:pPr>
        <w:spacing w:after="24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Variables: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Age, Sex, Comorbidities, Vital signs at the ED visit</w:t>
        <w:br w:type="textWrapping"/>
      </w:r>
    </w:p>
    <w:p w:rsidR="00000000" w:rsidDel="00000000" w:rsidP="00000000" w:rsidRDefault="00000000" w:rsidRPr="00000000" w14:paraId="00000010">
      <w:pPr>
        <w:pStyle w:val="Heading3"/>
        <w:spacing w:line="308.16" w:lineRule="auto"/>
        <w:rPr/>
      </w:pPr>
      <w:bookmarkStart w:colFirst="0" w:colLast="0" w:name="_ukzc31cce9ir" w:id="2"/>
      <w:bookmarkEnd w:id="2"/>
      <w:r w:rsidDel="00000000" w:rsidR="00000000" w:rsidRPr="00000000">
        <w:rPr>
          <w:rtl w:val="0"/>
        </w:rPr>
        <w:t xml:space="preserve">HW.csv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Q: </w:t>
      </w:r>
      <w:r w:rsidDel="00000000" w:rsidR="00000000" w:rsidRPr="00000000">
        <w:rPr>
          <w:rtl w:val="0"/>
        </w:rPr>
        <w:t xml:space="preserve">Do summer heat waves increase the risk of hospitalizations for respiratory and cardiovascular diseases?</w:t>
      </w:r>
    </w:p>
    <w:p w:rsidR="00000000" w:rsidDel="00000000" w:rsidP="00000000" w:rsidRDefault="00000000" w:rsidRPr="00000000" w14:paraId="00000011">
      <w:pPr>
        <w:spacing w:line="308.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08.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row of this dataset represents a hospital admission with any of the following ICD-10 codes as the principal diagnosis: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COPD: J41–J44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Asthma: J45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Acute myocardial infarction: I21–I22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Heart failure: I50</w:t>
      </w:r>
    </w:p>
    <w:p w:rsidR="00000000" w:rsidDel="00000000" w:rsidP="00000000" w:rsidRDefault="00000000" w:rsidRPr="00000000" w14:paraId="00000017">
      <w:pPr>
        <w:spacing w:line="308.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08.1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Variables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Demographics: gender, age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 time: admission_month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Length of stay (in days): los</w:t>
      </w:r>
    </w:p>
    <w:p w:rsidR="00000000" w:rsidDel="00000000" w:rsidP="00000000" w:rsidRDefault="00000000" w:rsidRPr="00000000" w14:paraId="0000001C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Linkable data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Environmental data: daily temperature, humidex, air quality index (AQI)</w:t>
      </w:r>
    </w:p>
    <w:p w:rsidR="00000000" w:rsidDel="00000000" w:rsidP="00000000" w:rsidRDefault="00000000" w:rsidRPr="00000000" w14:paraId="0000001E">
      <w:pPr>
        <w:spacing w:line="308.1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Potential applications: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Time-series analysis of heat-related health effects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Climate–health dashboard for the Montréal region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Summary of counts by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spacing w:line="308.16" w:lineRule="auto"/>
        <w:rPr/>
      </w:pPr>
      <w:bookmarkStart w:colFirst="0" w:colLast="0" w:name="_qwg6bxf5o7xw" w:id="3"/>
      <w:bookmarkEnd w:id="3"/>
      <w:r w:rsidDel="00000000" w:rsidR="00000000" w:rsidRPr="00000000">
        <w:rPr>
          <w:b w:val="1"/>
          <w:bCs w:val="1"/>
          <w:rtl w:val="0"/>
        </w:rPr>
        <w:t xml:space="preserve">Poll.csv</w:t>
        <w:br w:type="textWrapping"/>
        <w:br w:type="textWrapping"/>
        <w:t xml:space="preserve">Q: </w:t>
      </w:r>
      <w:r w:rsidDel="00000000" w:rsidR="00000000" w:rsidRPr="00000000">
        <w:rPr>
          <w:rtl w:val="0"/>
        </w:rPr>
        <w:t xml:space="preserve">Are high air pollution days associated with increased hospital admissions for COPD among older adults?</w:t>
      </w:r>
    </w:p>
    <w:p w:rsidR="00000000" w:rsidDel="00000000" w:rsidP="00000000" w:rsidRDefault="00000000" w:rsidRPr="00000000" w14:paraId="00000023">
      <w:pPr>
        <w:spacing w:line="308.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08.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Each row of this dataset represents a hospital admission with any of the following ICD-10 codes as the principal diagnosis: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COPD: J41–J44</w:t>
      </w:r>
    </w:p>
    <w:p w:rsidR="00000000" w:rsidDel="00000000" w:rsidP="00000000" w:rsidRDefault="00000000" w:rsidRPr="00000000" w14:paraId="00000026">
      <w:pPr>
        <w:spacing w:line="308.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08.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dataset is restricted to adults 65 and older.</w:t>
      </w:r>
    </w:p>
    <w:p w:rsidR="00000000" w:rsidDel="00000000" w:rsidP="00000000" w:rsidRDefault="00000000" w:rsidRPr="00000000" w14:paraId="00000028">
      <w:pPr>
        <w:spacing w:line="308.1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08.1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Variables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Demographics: gender, age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Event time: admission_month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Length of stay (in days): los</w:t>
      </w:r>
    </w:p>
    <w:p w:rsidR="00000000" w:rsidDel="00000000" w:rsidP="00000000" w:rsidRDefault="00000000" w:rsidRPr="00000000" w14:paraId="0000002D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Linkable data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Environmental data: air quality index (AQI), mean temperature</w:t>
      </w:r>
    </w:p>
    <w:p w:rsidR="00000000" w:rsidDel="00000000" w:rsidP="00000000" w:rsidRDefault="00000000" w:rsidRPr="00000000" w14:paraId="0000002F">
      <w:pPr>
        <w:spacing w:line="308.16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Potential applications: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Correlational study on pollution and hospitalizations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256.8" w:lineRule="auto"/>
        <w:ind w:left="720" w:hanging="360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Prototype of an environmental health surveillance tool</w:t>
      </w:r>
    </w:p>
    <w:p w:rsidR="00000000" w:rsidDel="00000000" w:rsidP="00000000" w:rsidRDefault="00000000" w:rsidRPr="00000000" w14:paraId="00000032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Summary of counts by month</w:t>
      </w:r>
    </w:p>
    <w:p w:rsidR="00000000" w:rsidDel="00000000" w:rsidP="00000000" w:rsidRDefault="00000000" w:rsidRPr="00000000" w14:paraId="00000033">
      <w:pPr>
        <w:spacing w:after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212121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