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16e579b265a843aed92a096f83a7906b820d561b.png"/>
            <a:graphic>
              <a:graphicData uri="http://schemas.openxmlformats.org/drawingml/2006/picture">
                <pic:pic>
                  <pic:nvPicPr>
                    <pic:cNvPr id="1" name="image-16e579b265a843aed92a096f83a7906b820d561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Analysis of the Tokenizer Configuration</w:t>
      </w:r>
    </w:p>
    <w:p>
      <w:pPr>
        <w:spacing w:line="360" w:before="315" w:after="105" w:lineRule="auto"/>
        <w:ind w:left="-30"/>
        <w:jc w:val="left"/>
      </w:pPr>
      <w:r>
        <w:rPr>
          <w:rFonts w:eastAsia="inter" w:cs="inter" w:ascii="inter" w:hAnsi="inter"/>
          <w:b/>
          <w:color w:val="000000"/>
          <w:sz w:val="24"/>
        </w:rPr>
        <w:t xml:space="preserve">Tokenizer Type and Model</w:t>
      </w:r>
    </w:p>
    <w:p>
      <w:pPr>
        <w:numPr>
          <w:ilvl w:val="0"/>
          <w:numId w:val="1"/>
        </w:numPr>
        <w:spacing w:line="360" w:before="105" w:after="105" w:lineRule="auto"/>
      </w:pPr>
      <w:r>
        <w:rPr>
          <w:rFonts w:eastAsia="inter" w:cs="inter" w:ascii="inter" w:hAnsi="inter"/>
          <w:b/>
          <w:color w:val="000000"/>
          <w:sz w:val="21"/>
        </w:rPr>
        <w:t xml:space="preserve">Type</w:t>
      </w:r>
      <w:r>
        <w:rPr>
          <w:rFonts w:eastAsia="inter" w:cs="inter" w:ascii="inter" w:hAnsi="inter"/>
          <w:color w:val="000000"/>
          <w:sz w:val="21"/>
        </w:rPr>
        <w:t xml:space="preserve">: The tokenizer uses a Byte Pair Encoding (BPE) model, which is a common subword tokenization technique in modern NLP</w:t>
      </w:r>
      <w:bookmarkStart w:id="0" w:name="fnref1"/>
      <w:bookmarkEnd w:id="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Pre-tokenizer</w:t>
      </w:r>
      <w:r>
        <w:rPr>
          <w:rFonts w:eastAsia="inter" w:cs="inter" w:ascii="inter" w:hAnsi="inter"/>
          <w:color w:val="000000"/>
          <w:sz w:val="21"/>
        </w:rPr>
        <w:t xml:space="preserve">: Utilizes a </w:t>
      </w:r>
      <w:r>
        <w:rPr>
          <w:rStyle w:val="VerbatimChar"/>
          <w:rFonts w:eastAsia="ibm plex mono" w:cs="ibm plex mono" w:ascii="ibm plex mono" w:hAnsi="ibm plex mono"/>
          <w:color w:val="000000"/>
          <w:sz w:val="18"/>
          <w:shd w:val="clear" w:color="auto" w:fill="F8F8FA"/>
        </w:rPr>
        <w:t xml:space="preserve">ByteLevel</w:t>
      </w:r>
      <w:r>
        <w:rPr>
          <w:rFonts w:eastAsia="inter" w:cs="inter" w:ascii="inter" w:hAnsi="inter"/>
          <w:color w:val="000000"/>
          <w:sz w:val="21"/>
        </w:rPr>
        <w:t xml:space="preserve"> pre-tokenizer, meaning it splits text into bytes and handles whitespace and special characters at the byte level, which is robust for handling any input text and is language-agnostic</w:t>
      </w:r>
      <w:bookmarkStart w:id="1" w:name="fnref1:1"/>
      <w:bookmarkEnd w:id="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Decoder</w:t>
      </w:r>
      <w:r>
        <w:rPr>
          <w:rFonts w:eastAsia="inter" w:cs="inter" w:ascii="inter" w:hAnsi="inter"/>
          <w:color w:val="000000"/>
          <w:sz w:val="21"/>
        </w:rPr>
        <w:t xml:space="preserve">: Also uses a </w:t>
      </w:r>
      <w:r>
        <w:rPr>
          <w:rStyle w:val="VerbatimChar"/>
          <w:rFonts w:eastAsia="ibm plex mono" w:cs="ibm plex mono" w:ascii="ibm plex mono" w:hAnsi="ibm plex mono"/>
          <w:color w:val="000000"/>
          <w:sz w:val="18"/>
          <w:shd w:val="clear" w:color="auto" w:fill="F8F8FA"/>
        </w:rPr>
        <w:t xml:space="preserve">ByteLevel</w:t>
      </w:r>
      <w:r>
        <w:rPr>
          <w:rFonts w:eastAsia="inter" w:cs="inter" w:ascii="inter" w:hAnsi="inter"/>
          <w:color w:val="000000"/>
          <w:sz w:val="21"/>
        </w:rPr>
        <w:t xml:space="preserve"> decoder, ensuring reversibility from token IDs back to readable text</w:t>
      </w:r>
      <w:bookmarkStart w:id="2" w:name="fnref1:2"/>
      <w:bookmarkEnd w:id="2"/>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Truncation and Padding</w:t>
      </w:r>
    </w:p>
    <w:p>
      <w:pPr>
        <w:numPr>
          <w:ilvl w:val="0"/>
          <w:numId w:val="2"/>
        </w:numPr>
        <w:spacing w:line="360" w:before="105" w:after="105" w:lineRule="auto"/>
      </w:pPr>
      <w:r>
        <w:rPr>
          <w:rFonts w:eastAsia="inter" w:cs="inter" w:ascii="inter" w:hAnsi="inter"/>
          <w:b/>
          <w:color w:val="000000"/>
          <w:sz w:val="21"/>
        </w:rPr>
        <w:t xml:space="preserve">Truncation</w:t>
      </w:r>
      <w:r>
        <w:rPr>
          <w:rFonts w:eastAsia="inter" w:cs="inter" w:ascii="inter" w:hAnsi="inter"/>
          <w:color w:val="000000"/>
          <w:sz w:val="21"/>
        </w:rPr>
        <w:t xml:space="preserve">:</w:t>
      </w:r>
    </w:p>
    <w:p>
      <w:pPr>
        <w:numPr>
          <w:ilvl w:val="1"/>
          <w:numId w:val="2"/>
        </w:numPr>
        <w:spacing w:line="360" w:before="105" w:after="105" w:lineRule="auto"/>
      </w:pPr>
      <w:r>
        <w:rPr>
          <w:rFonts w:eastAsia="inter" w:cs="inter" w:ascii="inter" w:hAnsi="inter"/>
          <w:b/>
          <w:color w:val="000000"/>
          <w:sz w:val="21"/>
        </w:rPr>
        <w:t xml:space="preserve">Direction</w:t>
      </w:r>
      <w:r>
        <w:rPr>
          <w:rFonts w:eastAsia="inter" w:cs="inter" w:ascii="inter" w:hAnsi="inter"/>
          <w:color w:val="000000"/>
          <w:sz w:val="21"/>
        </w:rPr>
        <w:t xml:space="preserve">: Right (truncates tokens from the end if the sequence is too long).</w:t>
      </w:r>
    </w:p>
    <w:p>
      <w:pPr>
        <w:numPr>
          <w:ilvl w:val="1"/>
          <w:numId w:val="2"/>
        </w:numPr>
        <w:spacing w:line="360" w:before="105" w:after="105" w:lineRule="auto"/>
      </w:pPr>
      <w:r>
        <w:rPr>
          <w:rFonts w:eastAsia="inter" w:cs="inter" w:ascii="inter" w:hAnsi="inter"/>
          <w:b/>
          <w:color w:val="000000"/>
          <w:sz w:val="21"/>
        </w:rPr>
        <w:t xml:space="preserve">Max Length</w:t>
      </w:r>
      <w:r>
        <w:rPr>
          <w:rFonts w:eastAsia="inter" w:cs="inter" w:ascii="inter" w:hAnsi="inter"/>
          <w:color w:val="000000"/>
          <w:sz w:val="21"/>
        </w:rPr>
        <w:t xml:space="preserve">: 128 tokens.</w:t>
      </w:r>
    </w:p>
    <w:p>
      <w:pPr>
        <w:numPr>
          <w:ilvl w:val="1"/>
          <w:numId w:val="2"/>
        </w:numPr>
        <w:spacing w:line="360" w:before="105" w:after="105" w:lineRule="auto"/>
      </w:pPr>
      <w:r>
        <w:rPr>
          <w:rFonts w:eastAsia="inter" w:cs="inter" w:ascii="inter" w:hAnsi="inter"/>
          <w:b/>
          <w:color w:val="000000"/>
          <w:sz w:val="21"/>
        </w:rPr>
        <w:t xml:space="preserve">Strategy</w:t>
      </w:r>
      <w:r>
        <w:rPr>
          <w:rFonts w:eastAsia="inter" w:cs="inter" w:ascii="inter" w:hAnsi="inter"/>
          <w:color w:val="000000"/>
          <w:sz w:val="21"/>
        </w:rPr>
        <w:t xml:space="preserve">: LongestFirst (removes tokens from the longest sequences first in batch processing).</w:t>
      </w:r>
    </w:p>
    <w:p>
      <w:pPr>
        <w:numPr>
          <w:ilvl w:val="1"/>
          <w:numId w:val="2"/>
        </w:numPr>
        <w:spacing w:line="360" w:before="105" w:after="105" w:lineRule="auto"/>
      </w:pPr>
      <w:r>
        <w:rPr>
          <w:rFonts w:eastAsia="inter" w:cs="inter" w:ascii="inter" w:hAnsi="inter"/>
          <w:b/>
          <w:color w:val="000000"/>
          <w:sz w:val="21"/>
        </w:rPr>
        <w:t xml:space="preserve">Stride</w:t>
      </w:r>
      <w:r>
        <w:rPr>
          <w:rFonts w:eastAsia="inter" w:cs="inter" w:ascii="inter" w:hAnsi="inter"/>
          <w:color w:val="000000"/>
          <w:sz w:val="21"/>
        </w:rPr>
        <w:t xml:space="preserve">: 0 (no overlap between truncated sequences)</w:t>
      </w:r>
      <w:bookmarkStart w:id="3" w:name="fnref1:3"/>
      <w:bookmarkEnd w:id="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Padding</w:t>
      </w:r>
      <w:r>
        <w:rPr>
          <w:rFonts w:eastAsia="inter" w:cs="inter" w:ascii="inter" w:hAnsi="inter"/>
          <w:color w:val="000000"/>
          <w:sz w:val="21"/>
        </w:rPr>
        <w:t xml:space="preserve">:</w:t>
      </w:r>
    </w:p>
    <w:p>
      <w:pPr>
        <w:numPr>
          <w:ilvl w:val="1"/>
          <w:numId w:val="2"/>
        </w:numPr>
        <w:spacing w:line="360" w:before="105" w:after="105" w:lineRule="auto"/>
      </w:pPr>
      <w:r>
        <w:rPr>
          <w:rFonts w:eastAsia="inter" w:cs="inter" w:ascii="inter" w:hAnsi="inter"/>
          <w:b/>
          <w:color w:val="000000"/>
          <w:sz w:val="21"/>
        </w:rPr>
        <w:t xml:space="preserve">Strategy</w:t>
      </w:r>
      <w:r>
        <w:rPr>
          <w:rFonts w:eastAsia="inter" w:cs="inter" w:ascii="inter" w:hAnsi="inter"/>
          <w:color w:val="000000"/>
          <w:sz w:val="21"/>
        </w:rPr>
        <w:t xml:space="preserve">: Fixed length of 128 tokens per sequence.</w:t>
      </w:r>
    </w:p>
    <w:p>
      <w:pPr>
        <w:numPr>
          <w:ilvl w:val="1"/>
          <w:numId w:val="2"/>
        </w:numPr>
        <w:spacing w:line="360" w:before="105" w:after="105" w:lineRule="auto"/>
      </w:pPr>
      <w:r>
        <w:rPr>
          <w:rFonts w:eastAsia="inter" w:cs="inter" w:ascii="inter" w:hAnsi="inter"/>
          <w:b/>
          <w:color w:val="000000"/>
          <w:sz w:val="21"/>
        </w:rPr>
        <w:t xml:space="preserve">Direction</w:t>
      </w:r>
      <w:r>
        <w:rPr>
          <w:rFonts w:eastAsia="inter" w:cs="inter" w:ascii="inter" w:hAnsi="inter"/>
          <w:color w:val="000000"/>
          <w:sz w:val="21"/>
        </w:rPr>
        <w:t xml:space="preserve">: Right (pads at the end).</w:t>
      </w:r>
    </w:p>
    <w:p>
      <w:pPr>
        <w:numPr>
          <w:ilvl w:val="1"/>
          <w:numId w:val="2"/>
        </w:numPr>
        <w:spacing w:line="360" w:before="105" w:after="105" w:lineRule="auto"/>
      </w:pPr>
      <w:r>
        <w:rPr>
          <w:rFonts w:eastAsia="inter" w:cs="inter" w:ascii="inter" w:hAnsi="inter"/>
          <w:b/>
          <w:color w:val="000000"/>
          <w:sz w:val="21"/>
        </w:rPr>
        <w:t xml:space="preserve">Pad Token</w:t>
      </w:r>
      <w:r>
        <w:rPr>
          <w:rFonts w:eastAsia="inter" w:cs="inter" w:ascii="inter" w:hAnsi="inter"/>
          <w:color w:val="000000"/>
          <w:sz w:val="21"/>
        </w:rPr>
        <w:t xml:space="preserve">: Token with ID 1, which is an empty string ("").</w:t>
      </w:r>
    </w:p>
    <w:p>
      <w:pPr>
        <w:numPr>
          <w:ilvl w:val="1"/>
          <w:numId w:val="2"/>
        </w:numPr>
        <w:spacing w:line="360" w:before="105" w:after="105" w:lineRule="auto"/>
      </w:pPr>
      <w:r>
        <w:rPr>
          <w:rFonts w:eastAsia="inter" w:cs="inter" w:ascii="inter" w:hAnsi="inter"/>
          <w:b/>
          <w:color w:val="000000"/>
          <w:sz w:val="21"/>
        </w:rPr>
        <w:t xml:space="preserve">Pad Type ID</w:t>
      </w:r>
      <w:r>
        <w:rPr>
          <w:rFonts w:eastAsia="inter" w:cs="inter" w:ascii="inter" w:hAnsi="inter"/>
          <w:color w:val="000000"/>
          <w:sz w:val="21"/>
        </w:rPr>
        <w:t xml:space="preserve">: 0 (default type for padding).</w:t>
      </w:r>
    </w:p>
    <w:p>
      <w:pPr>
        <w:numPr>
          <w:ilvl w:val="1"/>
          <w:numId w:val="2"/>
        </w:numPr>
        <w:spacing w:line="360" w:before="105" w:after="105" w:lineRule="auto"/>
      </w:pPr>
      <w:r>
        <w:rPr>
          <w:rFonts w:eastAsia="inter" w:cs="inter" w:ascii="inter" w:hAnsi="inter"/>
          <w:b/>
          <w:color w:val="000000"/>
          <w:sz w:val="21"/>
        </w:rPr>
        <w:t xml:space="preserve">Pad to Multiple Of</w:t>
      </w:r>
      <w:r>
        <w:rPr>
          <w:rFonts w:eastAsia="inter" w:cs="inter" w:ascii="inter" w:hAnsi="inter"/>
          <w:color w:val="000000"/>
          <w:sz w:val="21"/>
        </w:rPr>
        <w:t xml:space="preserve">: null (no requirement to pad to a multiple of a specific number)</w:t>
      </w:r>
      <w:bookmarkStart w:id="4" w:name="fnref1:4"/>
      <w:bookmarkEnd w:id="4"/>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Special Tokens</w:t>
      </w:r>
    </w:p>
    <w:p>
      <w:pPr>
        <w:numPr>
          <w:ilvl w:val="0"/>
          <w:numId w:val="3"/>
        </w:numPr>
        <w:spacing w:line="360" w:before="105" w:after="105" w:lineRule="auto"/>
      </w:pPr>
      <w:r>
        <w:rPr>
          <w:rFonts w:eastAsia="inter" w:cs="inter" w:ascii="inter" w:hAnsi="inter"/>
          <w:b/>
          <w:color w:val="000000"/>
          <w:sz w:val="21"/>
        </w:rPr>
        <w:t xml:space="preserve">Added Tokens</w:t>
      </w:r>
      <w:r>
        <w:rPr>
          <w:rFonts w:eastAsia="inter" w:cs="inter" w:ascii="inter" w:hAnsi="inter"/>
          <w:color w:val="000000"/>
          <w:sz w:val="21"/>
        </w:rPr>
        <w:t xml:space="preserve">: IDs 0, 1, 2, 3, and 50264 are reserved as special tokens, all represented as empty strings ("") and marked as special, with some having specific properties like </w:t>
      </w:r>
      <w:r>
        <w:rPr>
          <w:rStyle w:val="VerbatimChar"/>
          <w:rFonts w:eastAsia="ibm plex mono" w:cs="ibm plex mono" w:ascii="ibm plex mono" w:hAnsi="ibm plex mono"/>
          <w:color w:val="000000"/>
          <w:sz w:val="18"/>
          <w:shd w:val="clear" w:color="auto" w:fill="F8F8FA"/>
        </w:rPr>
        <w:t xml:space="preserve">lstrip</w:t>
      </w:r>
      <w:r>
        <w:rPr>
          <w:rFonts w:eastAsia="inter" w:cs="inter" w:ascii="inter" w:hAnsi="inter"/>
          <w:color w:val="000000"/>
          <w:sz w:val="21"/>
        </w:rPr>
        <w:t xml:space="preserve"> or </w:t>
      </w:r>
      <w:r>
        <w:rPr>
          <w:rStyle w:val="VerbatimChar"/>
          <w:rFonts w:eastAsia="ibm plex mono" w:cs="ibm plex mono" w:ascii="ibm plex mono" w:hAnsi="ibm plex mono"/>
          <w:color w:val="000000"/>
          <w:sz w:val="18"/>
          <w:shd w:val="clear" w:color="auto" w:fill="F8F8FA"/>
        </w:rPr>
        <w:t xml:space="preserve">rstrip</w:t>
      </w:r>
      <w:r>
        <w:rPr>
          <w:rFonts w:eastAsia="inter" w:cs="inter" w:ascii="inter" w:hAnsi="inter"/>
          <w:color w:val="000000"/>
          <w:sz w:val="21"/>
        </w:rPr>
        <w:t xml:space="preserve"> set</w:t>
      </w:r>
      <w:bookmarkStart w:id="5" w:name="fnref1:5"/>
      <w:bookmarkEnd w:id="5"/>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CLS and SEP Tokens</w:t>
      </w:r>
      <w:r>
        <w:rPr>
          <w:rFonts w:eastAsia="inter" w:cs="inter" w:ascii="inter" w:hAnsi="inter"/>
          <w:color w:val="000000"/>
          <w:sz w:val="21"/>
        </w:rPr>
        <w:t xml:space="preserve">: The post-processor is configured for </w:t>
      </w:r>
      <w:r>
        <w:rPr>
          <w:rStyle w:val="VerbatimChar"/>
          <w:rFonts w:eastAsia="ibm plex mono" w:cs="ibm plex mono" w:ascii="ibm plex mono" w:hAnsi="ibm plex mono"/>
          <w:color w:val="000000"/>
          <w:sz w:val="18"/>
          <w:shd w:val="clear" w:color="auto" w:fill="F8F8FA"/>
        </w:rPr>
        <w:t xml:space="preserve">RobertaProcessing</w:t>
      </w:r>
      <w:r>
        <w:rPr>
          <w:rFonts w:eastAsia="inter" w:cs="inter" w:ascii="inter" w:hAnsi="inter"/>
          <w:color w:val="000000"/>
          <w:sz w:val="21"/>
        </w:rPr>
        <w:t xml:space="preserve">, using token ID 0 for CLS (start of sequence) and token ID 2 for SEP (end of sequence), both as empty strings</w:t>
      </w:r>
      <w:bookmarkStart w:id="6" w:name="fnref1:6"/>
      <w:bookmarkEnd w:id="6"/>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Post-Processing</w:t>
      </w:r>
    </w:p>
    <w:p>
      <w:pPr>
        <w:numPr>
          <w:ilvl w:val="0"/>
          <w:numId w:val="4"/>
        </w:numPr>
        <w:spacing w:line="360" w:before="105" w:after="105" w:lineRule="auto"/>
      </w:pPr>
      <w:r>
        <w:rPr>
          <w:rFonts w:eastAsia="inter" w:cs="inter" w:ascii="inter" w:hAnsi="inter"/>
          <w:b/>
          <w:color w:val="000000"/>
          <w:sz w:val="21"/>
        </w:rPr>
        <w:t xml:space="preserve">Type</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RobertaProcessing</w:t>
      </w:r>
      <w:r>
        <w:rPr>
          <w:rFonts w:eastAsia="inter" w:cs="inter" w:ascii="inter" w:hAnsi="inter"/>
          <w:color w:val="000000"/>
          <w:sz w:val="21"/>
        </w:rPr>
        <w:t xml:space="preserve">, which is typical for models in the RoBERTa family and compatible architectures.</w:t>
      </w:r>
    </w:p>
    <w:p>
      <w:pPr>
        <w:numPr>
          <w:ilvl w:val="0"/>
          <w:numId w:val="4"/>
        </w:numPr>
        <w:spacing w:line="360" w:before="105" w:after="105" w:lineRule="auto"/>
      </w:pPr>
      <w:r>
        <w:rPr>
          <w:rFonts w:eastAsia="inter" w:cs="inter" w:ascii="inter" w:hAnsi="inter"/>
          <w:b/>
          <w:color w:val="000000"/>
          <w:sz w:val="21"/>
        </w:rPr>
        <w:t xml:space="preserve">Behavior</w:t>
      </w:r>
      <w:r>
        <w:rPr>
          <w:rFonts w:eastAsia="inter" w:cs="inter" w:ascii="inter" w:hAnsi="inter"/>
          <w:color w:val="000000"/>
          <w:sz w:val="21"/>
        </w:rPr>
        <w:t xml:space="preserve">: Adds CLS and SEP tokens to the processed sequence, trims offsets, and does not add a prefix space</w:t>
      </w:r>
      <w:bookmarkStart w:id="7" w:name="fnref1:7"/>
      <w:bookmarkEnd w:id="7"/>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Vocabulary and Merges</w:t>
      </w:r>
    </w:p>
    <w:p>
      <w:pPr>
        <w:numPr>
          <w:ilvl w:val="0"/>
          <w:numId w:val="5"/>
        </w:numPr>
        <w:spacing w:line="360" w:before="105" w:after="105" w:lineRule="auto"/>
      </w:pPr>
      <w:r>
        <w:rPr>
          <w:rFonts w:eastAsia="inter" w:cs="inter" w:ascii="inter" w:hAnsi="inter"/>
          <w:b/>
          <w:color w:val="000000"/>
          <w:sz w:val="21"/>
        </w:rPr>
        <w:t xml:space="preserve">Vocabulary</w:t>
      </w:r>
      <w:r>
        <w:rPr>
          <w:rFonts w:eastAsia="inter" w:cs="inter" w:ascii="inter" w:hAnsi="inter"/>
          <w:color w:val="000000"/>
          <w:sz w:val="21"/>
        </w:rPr>
        <w:t xml:space="preserve">: The vocab is a mapping from subword strings (including byte-level representations like "Ġthe", "Ġto", etc.) to integer IDs. The first few IDs are reserved for special tokens, followed by common English words and subword units</w:t>
      </w:r>
      <w:bookmarkStart w:id="8" w:name="fnref1:8"/>
      <w:bookmarkEnd w:id="8"/>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Merges</w:t>
      </w:r>
      <w:r>
        <w:rPr>
          <w:rFonts w:eastAsia="inter" w:cs="inter" w:ascii="inter" w:hAnsi="inter"/>
          <w:color w:val="000000"/>
          <w:sz w:val="21"/>
        </w:rPr>
        <w:t xml:space="preserve">: The merges file (BPE merges) lists pairs of symbols to be merged, starting from the most frequent pairs, such as "Ġ t", "Ġ a", "h e", "i n", etc. This is standard for BPE, where the tokenizer iteratively merges the most frequent symbol pairs to build the vocabulary</w:t>
      </w:r>
      <w:bookmarkStart w:id="9" w:name="fnref2"/>
      <w:bookmarkEnd w:id="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Other Properties</w:t>
      </w:r>
    </w:p>
    <w:p>
      <w:pPr>
        <w:numPr>
          <w:ilvl w:val="0"/>
          <w:numId w:val="6"/>
        </w:numPr>
        <w:spacing w:line="360" w:before="105" w:after="105" w:lineRule="auto"/>
      </w:pPr>
      <w:r>
        <w:rPr>
          <w:rFonts w:eastAsia="inter" w:cs="inter" w:ascii="inter" w:hAnsi="inter"/>
          <w:b/>
          <w:color w:val="000000"/>
          <w:sz w:val="21"/>
        </w:rPr>
        <w:t xml:space="preserve">Normalizer</w:t>
      </w:r>
      <w:r>
        <w:rPr>
          <w:rFonts w:eastAsia="inter" w:cs="inter" w:ascii="inter" w:hAnsi="inter"/>
          <w:color w:val="000000"/>
          <w:sz w:val="21"/>
        </w:rPr>
        <w:t xml:space="preserve">: Set to null, meaning no additional normalization is applied beyond what the pre-tokenizer does</w:t>
      </w:r>
      <w:bookmarkStart w:id="10" w:name="fnref1:9"/>
      <w:bookmarkEnd w:id="10"/>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Unknown Token</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unk_token</w:t>
      </w:r>
      <w:r>
        <w:rPr>
          <w:rFonts w:eastAsia="inter" w:cs="inter" w:ascii="inter" w:hAnsi="inter"/>
          <w:color w:val="000000"/>
          <w:sz w:val="21"/>
        </w:rPr>
        <w:t xml:space="preserve"> is null, so the tokenizer may not explicitly handle unknown tokens, or it may rely on byte fallback or similar mechanisms</w:t>
      </w:r>
      <w:bookmarkStart w:id="11" w:name="fnref1:10"/>
      <w:bookmarkEnd w:id="1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Byte Fallback</w:t>
      </w:r>
      <w:r>
        <w:rPr>
          <w:rFonts w:eastAsia="inter" w:cs="inter" w:ascii="inter" w:hAnsi="inter"/>
          <w:color w:val="000000"/>
          <w:sz w:val="21"/>
        </w:rPr>
        <w:t xml:space="preserve">: Set to false, meaning the tokenizer does not fall back to byte-level tokens for unknown words</w:t>
      </w:r>
      <w:bookmarkStart w:id="12" w:name="fnref1:11"/>
      <w:bookmarkEnd w:id="12"/>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Table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Value/Setting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BPE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Byte Pair Encoding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Pre-tokenizer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ByteLevel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Handles raw bytes, robust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Decoder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ByteLevel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Reversible decoding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Truncation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Right, max_length=128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LongestFirst strategy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Padding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Fixed=128, right, pad_id=1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Pads to length 128</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Special Tokens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IDs 0,1,2,3,50264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All empty strings, special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CLS/SEP Tokens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CLS: 0, SEP: 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Used in RobertaProcessing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Post-Processor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RobertaProcessing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Adds CLS/SEP, trims offsets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Vocab</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BPE subwords, byte-level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Includes special tokens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Merges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Standard BPE merges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Frequent pairs first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Normalizer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null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extra normalization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Unknown Token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null</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explicit unknown token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Byte Fallback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false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fallback to byte-level for unknown</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Implications and Use Cases</w:t>
      </w:r>
    </w:p>
    <w:p>
      <w:pPr>
        <w:numPr>
          <w:ilvl w:val="0"/>
          <w:numId w:val="7"/>
        </w:numPr>
        <w:spacing w:line="360" w:before="105" w:after="105" w:lineRule="auto"/>
      </w:pPr>
      <w:r>
        <w:rPr>
          <w:rFonts w:eastAsia="inter" w:cs="inter" w:ascii="inter" w:hAnsi="inter"/>
          <w:b/>
          <w:color w:val="000000"/>
          <w:sz w:val="21"/>
        </w:rPr>
        <w:t xml:space="preserve">Fixed Input Size</w:t>
      </w:r>
      <w:r>
        <w:rPr>
          <w:rFonts w:eastAsia="inter" w:cs="inter" w:ascii="inter" w:hAnsi="inter"/>
          <w:color w:val="000000"/>
          <w:sz w:val="21"/>
        </w:rPr>
        <w:t xml:space="preserve">: The tokenizer is optimized for models expecting fixed-length input (128 tokens), making it suitable for transformer-based models like RoBERTa or similar architectures.</w:t>
      </w:r>
    </w:p>
    <w:p>
      <w:pPr>
        <w:numPr>
          <w:ilvl w:val="0"/>
          <w:numId w:val="7"/>
        </w:numPr>
        <w:spacing w:line="360" w:before="105" w:after="105" w:lineRule="auto"/>
      </w:pPr>
      <w:r>
        <w:rPr>
          <w:rFonts w:eastAsia="inter" w:cs="inter" w:ascii="inter" w:hAnsi="inter"/>
          <w:b/>
          <w:color w:val="000000"/>
          <w:sz w:val="21"/>
        </w:rPr>
        <w:t xml:space="preserve">Byte-Level Robustness</w:t>
      </w:r>
      <w:r>
        <w:rPr>
          <w:rFonts w:eastAsia="inter" w:cs="inter" w:ascii="inter" w:hAnsi="inter"/>
          <w:color w:val="000000"/>
          <w:sz w:val="21"/>
        </w:rPr>
        <w:t xml:space="preserve">: ByteLevel pre-tokenization and decoding ensure the tokenizer can handle any text, including non-standard characters and multiple languages.</w:t>
      </w:r>
    </w:p>
    <w:p>
      <w:pPr>
        <w:numPr>
          <w:ilvl w:val="0"/>
          <w:numId w:val="7"/>
        </w:numPr>
        <w:spacing w:line="360" w:before="105" w:after="105" w:lineRule="auto"/>
      </w:pPr>
      <w:r>
        <w:rPr>
          <w:rFonts w:eastAsia="inter" w:cs="inter" w:ascii="inter" w:hAnsi="inter"/>
          <w:b/>
          <w:color w:val="000000"/>
          <w:sz w:val="21"/>
        </w:rPr>
        <w:t xml:space="preserve">No Explicit Unknown Handling</w:t>
      </w:r>
      <w:r>
        <w:rPr>
          <w:rFonts w:eastAsia="inter" w:cs="inter" w:ascii="inter" w:hAnsi="inter"/>
          <w:color w:val="000000"/>
          <w:sz w:val="21"/>
        </w:rPr>
        <w:t xml:space="preserve">: Absence of an </w:t>
      </w:r>
      <w:r>
        <w:rPr>
          <w:rStyle w:val="VerbatimChar"/>
          <w:rFonts w:eastAsia="ibm plex mono" w:cs="ibm plex mono" w:ascii="ibm plex mono" w:hAnsi="ibm plex mono"/>
          <w:color w:val="000000"/>
          <w:sz w:val="18"/>
          <w:shd w:val="clear" w:color="auto" w:fill="F8F8FA"/>
        </w:rPr>
        <w:t xml:space="preserve">unk_token</w:t>
      </w:r>
      <w:r>
        <w:rPr>
          <w:rFonts w:eastAsia="inter" w:cs="inter" w:ascii="inter" w:hAnsi="inter"/>
          <w:color w:val="000000"/>
          <w:sz w:val="21"/>
        </w:rPr>
        <w:t xml:space="preserve"> and byte fallback means the tokenizer expects all input to be covered by the vocab and merges, which may not be ideal for highly out-of-vocabulary scenarios.</w:t>
      </w:r>
    </w:p>
    <w:p>
      <w:pPr>
        <w:numPr>
          <w:ilvl w:val="0"/>
          <w:numId w:val="7"/>
        </w:numPr>
        <w:spacing w:line="360" w:before="105" w:after="105" w:lineRule="auto"/>
      </w:pPr>
      <w:r>
        <w:rPr>
          <w:rFonts w:eastAsia="inter" w:cs="inter" w:ascii="inter" w:hAnsi="inter"/>
          <w:b/>
          <w:color w:val="000000"/>
          <w:sz w:val="21"/>
        </w:rPr>
        <w:t xml:space="preserve">Special Tokens</w:t>
      </w:r>
      <w:r>
        <w:rPr>
          <w:rFonts w:eastAsia="inter" w:cs="inter" w:ascii="inter" w:hAnsi="inter"/>
          <w:color w:val="000000"/>
          <w:sz w:val="21"/>
        </w:rPr>
        <w:t xml:space="preserve">: The use of empty strings for special tokens is unusual but may be a design choice for compatibility with specific models or pipelines.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This tokenizer is a BPE-based, byte-level tokenizer with fixed-length, right-padded sequences, and special tokens configured for use with transformer models (notably RoBERTa-like architectures). It is robust for general English text and is configured for scenarios where fixed input size and compatibility with certain model architectures are required</w:t>
      </w:r>
      <w:bookmarkStart w:id="13" w:name="fnref1:12"/>
      <w:bookmarkEnd w:id="13"/>
      <w:hyperlink w:anchor="fn1">
        <w:r>
          <w:rPr>
            <w:rFonts w:eastAsia="inter" w:cs="inter" w:ascii="inter" w:hAnsi="inter"/>
            <w:color w:val="#000"/>
            <w:u w:val="single"/>
            <w:vertAlign w:val="superscript"/>
          </w:rPr>
          <w:t xml:space="preserve">[1]</w:t>
        </w:r>
      </w:hyperlink>
      <w:bookmarkStart w:id="14" w:name="fnref2:1"/>
      <w:bookmarkEnd w:id="1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5" w:name="fn1"/>
    <w:bookmarkEnd w:id="15"/>
    <w:p>
      <w:pPr>
        <w:numPr>
          <w:ilvl w:val="0"/>
          <w:numId w:val="9"/>
        </w:numPr>
        <w:spacing w:line="360" w:after="210" w:lineRule="auto"/>
      </w:pPr>
      <w:r>
        <w:rPr>
          <w:rFonts w:eastAsia="inter" w:cs="inter" w:ascii="inter" w:hAnsi="inter"/>
          <w:color w:val="000000"/>
          <w:sz w:val="18"/>
        </w:rPr>
        <w:t xml:space="preserve">tokenizer.json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 w:name="fn2"/>
    <w:bookmarkEnd w:id="16"/>
    <w:p>
      <w:pPr>
        <w:numPr>
          <w:ilvl w:val="0"/>
          <w:numId w:val="9"/>
        </w:numPr>
        <w:spacing w:line="360" w:after="210" w:lineRule="auto"/>
      </w:pPr>
      <w:r>
        <w:rPr>
          <w:rFonts w:eastAsia="inter" w:cs="inter" w:ascii="inter" w:hAnsi="inter"/>
          <w:color w:val="000000"/>
          <w:sz w:val="18"/>
        </w:rPr>
        <w:t xml:space="preserve">merges.txt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abstractNum>
  <w:abstractNum w:abstractNumId="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6e579b265a843aed92a096f83a7906b820d561b.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2025-05-09T21:15:02.350Z</dcterms:created>
  <dcterms:modified xsi:type="dcterms:W3CDTF">2025-05-09T21:15:02.350Z</dcterms:modified>
</cp:coreProperties>
</file>