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B3B4" w14:textId="77777777" w:rsidR="001D726A" w:rsidRPr="001D726A" w:rsidRDefault="001D726A" w:rsidP="001D726A">
      <w:pPr>
        <w:rPr>
          <w:sz w:val="28"/>
          <w:szCs w:val="28"/>
        </w:rPr>
      </w:pPr>
      <w:r w:rsidRPr="001D726A">
        <w:rPr>
          <w:b/>
          <w:bCs/>
          <w:sz w:val="28"/>
          <w:szCs w:val="28"/>
        </w:rPr>
        <w:t>here are four key points to take away:</w:t>
      </w:r>
    </w:p>
    <w:p w14:paraId="4206ED43" w14:textId="77777777" w:rsidR="001D726A" w:rsidRPr="001D726A" w:rsidRDefault="001D726A" w:rsidP="001D726A">
      <w:pPr>
        <w:numPr>
          <w:ilvl w:val="0"/>
          <w:numId w:val="1"/>
        </w:numPr>
        <w:rPr>
          <w:sz w:val="28"/>
          <w:szCs w:val="28"/>
        </w:rPr>
      </w:pPr>
      <w:r w:rsidRPr="001D726A">
        <w:rPr>
          <w:sz w:val="28"/>
          <w:szCs w:val="28"/>
        </w:rPr>
        <w:t>Comparative advertising is generally permissible as long as it’s not misleading, confusing, disparaging, or untruthful.</w:t>
      </w:r>
    </w:p>
    <w:p w14:paraId="1EC8FA42" w14:textId="77777777" w:rsidR="001D726A" w:rsidRPr="001D726A" w:rsidRDefault="001D726A" w:rsidP="001D726A">
      <w:pPr>
        <w:numPr>
          <w:ilvl w:val="0"/>
          <w:numId w:val="1"/>
        </w:numPr>
        <w:rPr>
          <w:sz w:val="28"/>
          <w:szCs w:val="28"/>
        </w:rPr>
      </w:pPr>
      <w:r w:rsidRPr="001D726A">
        <w:rPr>
          <w:sz w:val="28"/>
          <w:szCs w:val="28"/>
        </w:rPr>
        <w:t>Brands can use comparison surveys and publish results, provided they can back up their claims.</w:t>
      </w:r>
    </w:p>
    <w:p w14:paraId="1F35846E" w14:textId="77777777" w:rsidR="001D726A" w:rsidRPr="001D726A" w:rsidRDefault="001D726A" w:rsidP="001D726A">
      <w:pPr>
        <w:numPr>
          <w:ilvl w:val="0"/>
          <w:numId w:val="1"/>
        </w:numPr>
        <w:rPr>
          <w:sz w:val="28"/>
          <w:szCs w:val="28"/>
        </w:rPr>
      </w:pPr>
      <w:r w:rsidRPr="001D726A">
        <w:rPr>
          <w:sz w:val="28"/>
          <w:szCs w:val="28"/>
        </w:rPr>
        <w:t>It’s usually acceptable to reference another brand or their trademarks as long as there’s no intent to capitalize on consumer confusion or the brand’s reputation.</w:t>
      </w:r>
    </w:p>
    <w:p w14:paraId="63262A41" w14:textId="77777777" w:rsidR="001D726A" w:rsidRPr="001D726A" w:rsidRDefault="001D726A" w:rsidP="001D726A">
      <w:pPr>
        <w:numPr>
          <w:ilvl w:val="0"/>
          <w:numId w:val="1"/>
        </w:numPr>
        <w:rPr>
          <w:sz w:val="28"/>
          <w:szCs w:val="28"/>
        </w:rPr>
      </w:pPr>
      <w:r w:rsidRPr="001D726A">
        <w:rPr>
          <w:sz w:val="28"/>
          <w:szCs w:val="28"/>
        </w:rPr>
        <w:t>Compatibility assurances can be used in advertising, but it should not create an impression of endorsement or affiliation between the two companies.</w:t>
      </w:r>
    </w:p>
    <w:p w14:paraId="66FCDF72" w14:textId="77777777" w:rsidR="002875E4" w:rsidRPr="001D726A" w:rsidRDefault="002875E4">
      <w:pPr>
        <w:rPr>
          <w:sz w:val="28"/>
          <w:szCs w:val="28"/>
        </w:rPr>
      </w:pPr>
    </w:p>
    <w:sectPr w:rsidR="002875E4" w:rsidRPr="001D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C1C5E"/>
    <w:multiLevelType w:val="multilevel"/>
    <w:tmpl w:val="119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34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2"/>
    <w:rsid w:val="001458C2"/>
    <w:rsid w:val="001D726A"/>
    <w:rsid w:val="002875E4"/>
    <w:rsid w:val="00AF6FDE"/>
    <w:rsid w:val="00F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ABED"/>
  <w15:chartTrackingRefBased/>
  <w15:docId w15:val="{46BC9786-06F0-4972-8ECC-6C5ABCC3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</dc:creator>
  <cp:keywords/>
  <dc:description/>
  <cp:lastModifiedBy>NITHIN SAI</cp:lastModifiedBy>
  <cp:revision>2</cp:revision>
  <dcterms:created xsi:type="dcterms:W3CDTF">2024-09-17T15:29:00Z</dcterms:created>
  <dcterms:modified xsi:type="dcterms:W3CDTF">2024-09-17T15:29:00Z</dcterms:modified>
</cp:coreProperties>
</file>