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5BD17" w14:textId="77777777" w:rsidR="00960509" w:rsidRDefault="00960509" w:rsidP="00960509">
      <w:pPr>
        <w:tabs>
          <w:tab w:val="left" w:pos="2940"/>
        </w:tabs>
        <w:spacing w:line="60" w:lineRule="auto"/>
      </w:pPr>
      <w:r>
        <w:t>メル周波数ケプストラム係数を用いた心音の高度分類：単一およびアンサンブル</w:t>
      </w:r>
      <w:r>
        <w:rPr>
          <w:rFonts w:hint="eastAsia"/>
        </w:rPr>
        <w:t>分類</w:t>
      </w:r>
      <w:r>
        <w:t>器戦略の比較研究</w:t>
      </w:r>
    </w:p>
    <w:p w14:paraId="07240EF9" w14:textId="77777777" w:rsidR="00960509" w:rsidRPr="00491AC6" w:rsidRDefault="00960509" w:rsidP="00960509">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491AC6">
        <w:rPr>
          <w:rFonts w:ascii="ＭＳ Ｐゴシック" w:eastAsia="ＭＳ Ｐゴシック" w:hAnsi="ＭＳ Ｐゴシック" w:cs="ＭＳ Ｐゴシック"/>
          <w:b/>
          <w:bCs/>
          <w:kern w:val="0"/>
          <w:sz w:val="27"/>
          <w:szCs w:val="27"/>
          <w14:ligatures w14:val="none"/>
        </w:rPr>
        <w:t>概要</w:t>
      </w:r>
    </w:p>
    <w:p w14:paraId="0D5F246D" w14:textId="77777777" w:rsidR="00960509" w:rsidRPr="00491AC6"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491AC6">
        <w:rPr>
          <w:rFonts w:ascii="ＭＳ Ｐゴシック" w:eastAsia="ＭＳ Ｐゴシック" w:hAnsi="ＭＳ Ｐゴシック" w:cs="ＭＳ Ｐゴシック"/>
          <w:kern w:val="0"/>
          <w:sz w:val="24"/>
          <w14:ligatures w14:val="none"/>
        </w:rPr>
        <w:t>本研究は、メル周波数ケプストラム係数（MFCC）が異常な心音を検出する効果について、単一分類器とアンサンブル分類器の二つの戦略を用いて検討したものである。心音はまずノイズを除去するために前処理され、次にS1、収縮期、S2、拡張期の区間に分割され、各セグメントから13個のMFCCが推定され、1拍あたり52個のMFCCが得られる。これらのMFCCは心音の分類に使用される。単一分類器戦略では、連続する9つの拍からのMFCCを平均し、単一分類器（サポートベクターマシン（SVM）、k近傍法（</w:t>
      </w:r>
      <w:proofErr w:type="spellStart"/>
      <w:r w:rsidRPr="00491AC6">
        <w:rPr>
          <w:rFonts w:ascii="ＭＳ Ｐゴシック" w:eastAsia="ＭＳ Ｐゴシック" w:hAnsi="ＭＳ Ｐゴシック" w:cs="ＭＳ Ｐゴシック"/>
          <w:kern w:val="0"/>
          <w:sz w:val="24"/>
          <w14:ligatures w14:val="none"/>
        </w:rPr>
        <w:t>kNN</w:t>
      </w:r>
      <w:proofErr w:type="spellEnd"/>
      <w:r w:rsidRPr="00491AC6">
        <w:rPr>
          <w:rFonts w:ascii="ＭＳ Ｐゴシック" w:eastAsia="ＭＳ Ｐゴシック" w:hAnsi="ＭＳ Ｐゴシック" w:cs="ＭＳ Ｐゴシック"/>
          <w:kern w:val="0"/>
          <w:sz w:val="24"/>
          <w14:ligatures w14:val="none"/>
        </w:rPr>
        <w:t>）、または決定木（DT））によって心音を分類した。逆に、アンサンブル分類器戦略では、9つの分類器（9つのSVM、9つの</w:t>
      </w:r>
      <w:proofErr w:type="spellStart"/>
      <w:r w:rsidRPr="00491AC6">
        <w:rPr>
          <w:rFonts w:ascii="ＭＳ Ｐゴシック" w:eastAsia="ＭＳ Ｐゴシック" w:hAnsi="ＭＳ Ｐゴシック" w:cs="ＭＳ Ｐゴシック"/>
          <w:kern w:val="0"/>
          <w:sz w:val="24"/>
          <w14:ligatures w14:val="none"/>
        </w:rPr>
        <w:t>kNN</w:t>
      </w:r>
      <w:proofErr w:type="spellEnd"/>
      <w:r w:rsidRPr="00491AC6">
        <w:rPr>
          <w:rFonts w:ascii="ＭＳ Ｐゴシック" w:eastAsia="ＭＳ Ｐゴシック" w:hAnsi="ＭＳ Ｐゴシック" w:cs="ＭＳ Ｐゴシック"/>
          <w:kern w:val="0"/>
          <w:sz w:val="24"/>
          <w14:ligatures w14:val="none"/>
        </w:rPr>
        <w:t>分類器、または9つのDT）を用いて個々の拍を正常または異常と判断し、多数決に基づいて全体の分類を行った。どちらの方法も公開されているフォノカーディオグラムデータベースでテストされた。単一分類器戦略では、SVMで91.95％、</w:t>
      </w:r>
      <w:proofErr w:type="spellStart"/>
      <w:r w:rsidRPr="00491AC6">
        <w:rPr>
          <w:rFonts w:ascii="ＭＳ Ｐゴシック" w:eastAsia="ＭＳ Ｐゴシック" w:hAnsi="ＭＳ Ｐゴシック" w:cs="ＭＳ Ｐゴシック"/>
          <w:kern w:val="0"/>
          <w:sz w:val="24"/>
          <w14:ligatures w14:val="none"/>
        </w:rPr>
        <w:t>kNN</w:t>
      </w:r>
      <w:proofErr w:type="spellEnd"/>
      <w:r w:rsidRPr="00491AC6">
        <w:rPr>
          <w:rFonts w:ascii="ＭＳ Ｐゴシック" w:eastAsia="ＭＳ Ｐゴシック" w:hAnsi="ＭＳ Ｐゴシック" w:cs="ＭＳ Ｐゴシック"/>
          <w:kern w:val="0"/>
          <w:sz w:val="24"/>
          <w14:ligatures w14:val="none"/>
        </w:rPr>
        <w:t>で91.9％、DTで87.33％の精度で心音を分類した。また、アンサンブル分類器戦略では、SVMで93.59％、</w:t>
      </w:r>
      <w:proofErr w:type="spellStart"/>
      <w:r w:rsidRPr="00491AC6">
        <w:rPr>
          <w:rFonts w:ascii="ＭＳ Ｐゴシック" w:eastAsia="ＭＳ Ｐゴシック" w:hAnsi="ＭＳ Ｐゴシック" w:cs="ＭＳ Ｐゴシック"/>
          <w:kern w:val="0"/>
          <w:sz w:val="24"/>
          <w14:ligatures w14:val="none"/>
        </w:rPr>
        <w:t>kNN</w:t>
      </w:r>
      <w:proofErr w:type="spellEnd"/>
      <w:r w:rsidRPr="00491AC6">
        <w:rPr>
          <w:rFonts w:ascii="ＭＳ Ｐゴシック" w:eastAsia="ＭＳ Ｐゴシック" w:hAnsi="ＭＳ Ｐゴシック" w:cs="ＭＳ Ｐゴシック"/>
          <w:kern w:val="0"/>
          <w:sz w:val="24"/>
          <w14:ligatures w14:val="none"/>
        </w:rPr>
        <w:t>で91.84％、DTで92.22％の精度で分類した。全体として、アンサンブル分類器戦略はDTとSVMの精度をそれぞれ4.89％と1.64％向上させ、MFCCが他の特徴（時間、時間周波数、および統計的特徴）よりも効果的であることを示した。</w:t>
      </w:r>
    </w:p>
    <w:p w14:paraId="16052565" w14:textId="77777777" w:rsidR="00960509"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491AC6">
        <w:rPr>
          <w:rFonts w:ascii="ＭＳ Ｐゴシック" w:eastAsia="ＭＳ Ｐゴシック" w:hAnsi="ＭＳ Ｐゴシック" w:cs="ＭＳ Ｐゴシック"/>
          <w:kern w:val="0"/>
          <w:sz w:val="24"/>
          <w14:ligatures w14:val="none"/>
        </w:rPr>
        <w:t>キーワード: フォノカーディオグラム（PCG）、心音分類、メル周波数ケプストラム係数（MFCC）、アンサンブル分類器戦略、機械学習</w:t>
      </w:r>
    </w:p>
    <w:p w14:paraId="5E784538" w14:textId="77777777" w:rsidR="00960509"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470451A8" w14:textId="77777777" w:rsidR="00960509" w:rsidRPr="00517C71" w:rsidRDefault="00960509" w:rsidP="00960509">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t>イントロダクション</w:t>
      </w:r>
    </w:p>
    <w:p w14:paraId="0BBD6B7B" w14:textId="77777777" w:rsidR="00960509" w:rsidRPr="00517C71"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t>心臓の機械的活動と血流は心音を生成します [1]。心音のグラフィカルな表現は通常、フォノカーディオグラム（PCG）と呼ばれます。フォノカーディオグラムは通常、S1音、収縮期、S2音、拡張期の4つのコンポーネントで構成されますが、他の音も含まれることがあります [1]。フォノカーディオグラムは心血管疾患を検出するための支援知能システムの開発に利用できます [2-5]。一般的に、そのようなシステムは前処理、セグメンテーション、特徴抽出、分類の4つのステップで構成されます [5, 6]。こ</w:t>
      </w:r>
      <w:r w:rsidRPr="00517C71">
        <w:rPr>
          <w:rFonts w:ascii="ＭＳ Ｐゴシック" w:eastAsia="ＭＳ Ｐゴシック" w:hAnsi="ＭＳ Ｐゴシック" w:cs="ＭＳ Ｐゴシック"/>
          <w:kern w:val="0"/>
          <w:sz w:val="24"/>
          <w14:ligatures w14:val="none"/>
        </w:rPr>
        <w:lastRenderedPageBreak/>
        <w:t>れらのステップは以下で簡単にレビューされますが、これらの技術の詳細なレビューはここで見つけることができます [5, 7]。</w:t>
      </w:r>
    </w:p>
    <w:p w14:paraId="7CD1122A" w14:textId="77777777" w:rsidR="00960509" w:rsidRPr="00517C71"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t>前処理は通常、不要なノイズ、アーティファクト、およびスパイクを除去することを含みます。PCG前処理のために他の研究で使用された技術には、ゼロ平均にするためのPCGの正規化 [8]、ローパスフィルタリング [9, 10]、10 Hzからのハイパスフィルタリングと正規化 [11]、40 Hzから400 Hzのバンドパスフィルタリング [12]、20 Hzから400 Hzのバンドパスフィルタリング [12, 13]、5 Hzから700 Hzのバンドパスフィルタリング [14]、2 Hzから100 Hzのバンドパスフィルタリング、および離散ウェーブレット変換（DWT） [15] などがあります。時々、前処理が全く適用されないこともあります [16]。</w:t>
      </w:r>
    </w:p>
    <w:p w14:paraId="7BB2D635" w14:textId="77777777" w:rsidR="00960509" w:rsidRPr="00517C71"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t>セグメンテーションは、PCG信号内のS1、収縮期、S2、および拡張期の間隔を見つけることを目的としています。Schmidtら（2010）は、PCGセグメンテーションのために持続時間依存の隠れマルコフモデル（DHMM）を使用しました [17]。この方法は、Springerら（2015） [18] によって隠れ半マルコフモデル（HSMM）とロジスティック回帰を使用して拡張されました。この方法は多くの研究で採用されています [3, 12, 13]。[14]では、メルスケールウェーブレット変換（MSWT）と動的しきい値設定を使用してPCGのセグメンテーションが行われ、[10]では収縮期と拡張期の持続時間を分析してS1およびS2を見つけました。PCGセグメンテーション [11] は、シャノンエネルギー、エンベロープスムージング、およびピーク検出に基づいていました。同様に、Jarosら（2023） [15] は3次のシャノンエネルギー、ローパスフィルタリングによるエンベロープ検出、しきい値設定、およびk-meansアルゴリズムを適用しました。Alonso-Arévaloら（2021）によって提案されたPCGセグメンテーション方法は、スペクトル変化検出と遺伝的アルゴリズムに基づいていました [19]。多くのPCGセグメンテーション方法はここでレビューされています [20]。また、いくつかの以前の研究ではセグメンテーション戦略が使用されなかったことも言及する必要があります [8, 9, 16]。</w:t>
      </w:r>
    </w:p>
    <w:p w14:paraId="16D0A053" w14:textId="77777777" w:rsidR="00960509" w:rsidRPr="00517C71"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t>PCG処理の第3ステップでは、PCGセグメントから定量的特徴が抽出されます。様々なタイプのPCG特徴が異なるアプリケーションで使用されています。これらのタイプには、時間領域の特徴 [3, 10-14]、スペクトル特徴 [8, 11-13]、時間-周波数特徴 [3, 10-12, 14]、時間-スケール特徴 [8, 11, 13]、メル周波数ケプストラム係数（MFCC） [3, 10, 11, 14, 21]、および畳み込みニューラルネットワーク（CNN）によって推定された特徴 [9] などがあります。次元削減のために線形判別分析 [10]、相関ベースの特徴選択 [13]、および遺伝的アルゴリズム [11] などの特徴選択戦略が使用されてきました。</w:t>
      </w:r>
    </w:p>
    <w:p w14:paraId="5CA34760" w14:textId="77777777" w:rsidR="00960509" w:rsidRPr="00517C71"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lastRenderedPageBreak/>
        <w:t>PCG処理の第4ステップは、潜在的な疾患を検出するために分類モデルを訓練およびテストすることです [5, 6]。PCGのアプリケーションで使用された分類方法には、畳み込みニューラルネットワーク（CNN） [16, 22]、人工ニューラルネットワーク（ANN） [3, 9, 10, 14]、ディープニューラルネットワーク [12]、k近傍アルゴリズム（</w:t>
      </w:r>
      <w:proofErr w:type="spellStart"/>
      <w:r w:rsidRPr="00517C71">
        <w:rPr>
          <w:rFonts w:ascii="ＭＳ Ｐゴシック" w:eastAsia="ＭＳ Ｐゴシック" w:hAnsi="ＭＳ Ｐゴシック" w:cs="ＭＳ Ｐゴシック"/>
          <w:kern w:val="0"/>
          <w:sz w:val="24"/>
          <w14:ligatures w14:val="none"/>
        </w:rPr>
        <w:t>kNN</w:t>
      </w:r>
      <w:proofErr w:type="spellEnd"/>
      <w:r w:rsidRPr="00517C71">
        <w:rPr>
          <w:rFonts w:ascii="ＭＳ Ｐゴシック" w:eastAsia="ＭＳ Ｐゴシック" w:hAnsi="ＭＳ Ｐゴシック" w:cs="ＭＳ Ｐゴシック"/>
          <w:kern w:val="0"/>
          <w:sz w:val="24"/>
          <w14:ligatures w14:val="none"/>
        </w:rPr>
        <w:t>） [3, 11, 14]、決定木（DT） [3, 8]、長短期記憶（LSTM）ネットワーク [3]、アンサンブル分類器 [3, 13]、サポートベクターマシン（SVM） [14]、および隠れマルコフモデル（HMM） [23] があります。</w:t>
      </w:r>
    </w:p>
    <w:p w14:paraId="7EF602B1" w14:textId="77777777" w:rsidR="00960509" w:rsidRPr="00517C71"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t>この研究の目的は、MFCCが正常なPCGと異常なPCGを区別する性能を調査することでした。MFCCは最初、音声処理アプリケーションで使用されましたが [24]、後にPCG処理など他のアプリケーションでも使用されるようになりました。MFCCは、音声信号の弱い相関を持ち、高い識別能力を持つ特徴であり、音声処理アプリケーションで成功裏に使用されたコンパクトなスペクトル表現を提供します [25]。それにもかかわらず、いくつかのPCG処理アプリケーションでは控えめな性能を示しました [3, 10]。したがって、MFCCのPCG分類性能を向上させるために、シングル分類器戦略とアンサンブル分類器戦略の2つの分類戦略が提示されました。シングル分類器戦略では、異なるPCGビートから抽出されたMFCCが最初に平均化され、その平均MFCCがPCGを分類するために使用されます。一方、アンサンブル分類器戦略では、MFCCを使用してPCGビートを正常/異常ビートに分類する9つの分類器のアンサンブルが使用されます。最後に、ほとんどのビートが正常と分類された場合、PCGは正常と見なされ、それ以外の場合は異常と見なされます。両方の戦略が公に利用可能なPCG信号のデータベースでテストされ、その結果、アンサンブル分類器戦略がより高い精度でPCGを分類できることが示されました。</w:t>
      </w:r>
    </w:p>
    <w:p w14:paraId="3ED231D1" w14:textId="77777777" w:rsidR="00960509" w:rsidRPr="00517C71" w:rsidRDefault="00960509" w:rsidP="0096050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17C71">
        <w:rPr>
          <w:rFonts w:ascii="ＭＳ Ｐゴシック" w:eastAsia="ＭＳ Ｐゴシック" w:hAnsi="ＭＳ Ｐゴシック" w:cs="ＭＳ Ｐゴシック"/>
          <w:kern w:val="0"/>
          <w:sz w:val="24"/>
          <w14:ligatures w14:val="none"/>
        </w:rPr>
        <w:t>この記事の残りの部分は次のように構成されています。第2節では、PCGデータベース、MFCCの推定、および2つの分類戦略を説明します。第3節では結果を詳細に示します。第4節では結果を議論し、類似の研究と比較します。第5節では本研究の結論を述べます。</w:t>
      </w:r>
    </w:p>
    <w:p w14:paraId="46CC5FD4" w14:textId="77777777" w:rsidR="00517C71" w:rsidRDefault="00517C71" w:rsidP="00491AC6">
      <w:pPr>
        <w:widowControl/>
        <w:spacing w:before="100" w:beforeAutospacing="1" w:after="100" w:afterAutospacing="1" w:line="240" w:lineRule="auto"/>
        <w:rPr>
          <w:rFonts w:ascii="ＭＳ Ｐゴシック" w:eastAsia="ＭＳ Ｐゴシック" w:hAnsi="ＭＳ Ｐゴシック" w:cs="ＭＳ Ｐゴシック" w:hint="eastAsia"/>
          <w:kern w:val="0"/>
          <w:sz w:val="24"/>
          <w14:ligatures w14:val="none"/>
        </w:rPr>
      </w:pPr>
    </w:p>
    <w:p w14:paraId="4D3BA56E" w14:textId="77777777" w:rsidR="005E4C1E" w:rsidRPr="005E4C1E" w:rsidRDefault="005E4C1E" w:rsidP="005E4C1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E4C1E">
        <w:rPr>
          <w:rFonts w:ascii="ＭＳ Ｐゴシック" w:eastAsia="ＭＳ Ｐゴシック" w:hAnsi="ＭＳ Ｐゴシック" w:cs="ＭＳ Ｐゴシック"/>
          <w:b/>
          <w:bCs/>
          <w:kern w:val="0"/>
          <w:sz w:val="27"/>
          <w:szCs w:val="27"/>
          <w14:ligatures w14:val="none"/>
        </w:rPr>
        <w:t>2.2 心音分類のための提案手法</w:t>
      </w:r>
    </w:p>
    <w:p w14:paraId="04464083" w14:textId="77777777" w:rsidR="005E4C1E" w:rsidRPr="005E4C1E" w:rsidRDefault="005E4C1E" w:rsidP="005E4C1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心音分類のために提案する手法は、前処理、セグメンテーション、特徴抽出、および分類の4段階を含みます。これらの段階について以下に詳細を説明します。</w:t>
      </w:r>
    </w:p>
    <w:p w14:paraId="16258303" w14:textId="77777777" w:rsidR="005E4C1E" w:rsidRPr="005E4C1E" w:rsidRDefault="005E4C1E" w:rsidP="005E4C1E">
      <w:pPr>
        <w:widowControl/>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5E4C1E">
        <w:rPr>
          <w:rFonts w:ascii="ＭＳ Ｐゴシック" w:eastAsia="ＭＳ Ｐゴシック" w:hAnsi="ＭＳ Ｐゴシック" w:cs="ＭＳ Ｐゴシック"/>
          <w:b/>
          <w:bCs/>
          <w:kern w:val="0"/>
          <w:sz w:val="24"/>
          <w14:ligatures w14:val="none"/>
        </w:rPr>
        <w:t>2.2.1 前処理</w:t>
      </w:r>
    </w:p>
    <w:p w14:paraId="381FBE04" w14:textId="77777777" w:rsidR="005E4C1E" w:rsidRPr="005E4C1E" w:rsidRDefault="005E4C1E" w:rsidP="005E4C1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lastRenderedPageBreak/>
        <w:t>すべての信号は計算コストを削減するために、最初に2000 Hzから1000 Hzにリサンプリングされます。その後、低周波数および高周波数のノイズを除去するために、25 Hzから400 Hzのバンドパスフィルターで前処理されます。同様の設定が他の研究でも使用されています【10, 12, 28】。</w:t>
      </w:r>
    </w:p>
    <w:p w14:paraId="34C97493" w14:textId="77777777" w:rsidR="005E4C1E" w:rsidRPr="005E4C1E" w:rsidRDefault="005E4C1E" w:rsidP="005E4C1E">
      <w:pPr>
        <w:widowControl/>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5E4C1E">
        <w:rPr>
          <w:rFonts w:ascii="ＭＳ Ｐゴシック" w:eastAsia="ＭＳ Ｐゴシック" w:hAnsi="ＭＳ Ｐゴシック" w:cs="ＭＳ Ｐゴシック"/>
          <w:b/>
          <w:bCs/>
          <w:kern w:val="0"/>
          <w:sz w:val="24"/>
          <w14:ligatures w14:val="none"/>
        </w:rPr>
        <w:t>2.2.2 セグメンテーション</w:t>
      </w:r>
    </w:p>
    <w:p w14:paraId="2F89EC11" w14:textId="007C6406" w:rsidR="005E4C1E" w:rsidRPr="005E4C1E" w:rsidRDefault="005E4C1E" w:rsidP="005E4C1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セグメンテーションの目的は、PCG信号におけるS1およびS2音の時間間隔と、収縮期および拡張期の領域の間隔を見つけることです。Springerら（2015）【18】は、PCGセグメンテーションのための洗練された</w:t>
      </w:r>
      <w:r w:rsidR="00017230">
        <w:rPr>
          <w:rFonts w:ascii="ＭＳ Ｐゴシック" w:eastAsia="ＭＳ Ｐゴシック" w:hAnsi="ＭＳ Ｐゴシック" w:cs="ＭＳ Ｐゴシック" w:hint="eastAsia"/>
          <w:kern w:val="0"/>
          <w:sz w:val="24"/>
          <w14:ligatures w14:val="none"/>
        </w:rPr>
        <w:t>教師あり</w:t>
      </w:r>
      <w:r w:rsidRPr="005E4C1E">
        <w:rPr>
          <w:rFonts w:ascii="ＭＳ Ｐゴシック" w:eastAsia="ＭＳ Ｐゴシック" w:hAnsi="ＭＳ Ｐゴシック" w:cs="ＭＳ Ｐゴシック"/>
          <w:kern w:val="0"/>
          <w:sz w:val="24"/>
          <w14:ligatures w14:val="none"/>
        </w:rPr>
        <w:t>手法を提案しました。この手法は、特徴抽出ステップとその後の4クラス分類器（S1、収縮期、S2、および拡張期）を含みます。特徴はHilbertエンベロープ、パワースペクトル密度、およびウェーブレット変換を使用して抽出されました。分類器はHSMMおよびロジスティック回帰に基づいています【18】。この分類器は、PCGサンプルが属するS1、収縮期、S2、および拡張期にラベル1, 2, 3, および4を割り当てます。</w:t>
      </w:r>
    </w:p>
    <w:p w14:paraId="593218A6" w14:textId="77777777" w:rsidR="005E4C1E" w:rsidRPr="005E4C1E" w:rsidRDefault="005E4C1E" w:rsidP="005E4C1E">
      <w:pPr>
        <w:widowControl/>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5E4C1E">
        <w:rPr>
          <w:rFonts w:ascii="ＭＳ Ｐゴシック" w:eastAsia="ＭＳ Ｐゴシック" w:hAnsi="ＭＳ Ｐゴシック" w:cs="ＭＳ Ｐゴシック"/>
          <w:b/>
          <w:bCs/>
          <w:kern w:val="0"/>
          <w:sz w:val="24"/>
          <w14:ligatures w14:val="none"/>
        </w:rPr>
        <w:t>2.2.3 特徴抽出</w:t>
      </w:r>
    </w:p>
    <w:p w14:paraId="71E8754A" w14:textId="77777777" w:rsidR="005E4C1E" w:rsidRPr="005E4C1E" w:rsidRDefault="005E4C1E" w:rsidP="005E4C1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このステップでは、PCG信号のMFCCが推定されます。MFCCは音声信号の短期パワースペクトルを表します。Melスケールは線形スケールの代わりに非線形周波数スケールを使用する聴覚システムの性能を近似するために使用されます。MFCCの推定には次のステップが含まれます【29】：</w:t>
      </w:r>
    </w:p>
    <w:p w14:paraId="7DE881AE" w14:textId="77777777" w:rsidR="005E4C1E" w:rsidRPr="005E4C1E" w:rsidRDefault="005E4C1E" w:rsidP="005E4C1E">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PCG信号をフレームに分割する。</w:t>
      </w:r>
    </w:p>
    <w:p w14:paraId="5BC3DC55" w14:textId="77777777" w:rsidR="005E4C1E" w:rsidRPr="005E4C1E" w:rsidRDefault="005E4C1E" w:rsidP="005E4C1E">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各PCGフレームの離散フーリエ変換（DFT）を計算する。</w:t>
      </w:r>
    </w:p>
    <w:p w14:paraId="03E886EB" w14:textId="77777777" w:rsidR="005E4C1E" w:rsidRPr="005E4C1E" w:rsidRDefault="005E4C1E" w:rsidP="005E4C1E">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各フレームのパワースペクトルをMelフィルタバンクを使用して推定する。</w:t>
      </w:r>
    </w:p>
    <w:p w14:paraId="0A8C9747" w14:textId="77777777" w:rsidR="005E4C1E" w:rsidRPr="005E4C1E" w:rsidRDefault="005E4C1E" w:rsidP="005E4C1E">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パワー係数の対数を計算する。</w:t>
      </w:r>
    </w:p>
    <w:p w14:paraId="4E943138" w14:textId="77777777" w:rsidR="005E4C1E" w:rsidRPr="005E4C1E" w:rsidRDefault="005E4C1E" w:rsidP="005E4C1E">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E4C1E">
        <w:rPr>
          <w:rFonts w:ascii="ＭＳ Ｐゴシック" w:eastAsia="ＭＳ Ｐゴシック" w:hAnsi="ＭＳ Ｐゴシック" w:cs="ＭＳ Ｐゴシック"/>
          <w:kern w:val="0"/>
          <w:sz w:val="24"/>
          <w14:ligatures w14:val="none"/>
        </w:rPr>
        <w:t>対数パワー係数の離散コサイン変換を計算する。</w:t>
      </w:r>
    </w:p>
    <w:p w14:paraId="7618A902" w14:textId="77777777" w:rsidR="00756326" w:rsidRPr="00756326" w:rsidRDefault="00756326" w:rsidP="00993710">
      <w:pPr>
        <w:pStyle w:val="a9"/>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756326">
        <w:rPr>
          <w:rFonts w:ascii="ＭＳ Ｐゴシック" w:eastAsia="ＭＳ Ｐゴシック" w:hAnsi="ＭＳ Ｐゴシック" w:cs="ＭＳ Ｐゴシック"/>
          <w:kern w:val="0"/>
          <w:sz w:val="24"/>
          <w14:ligatures w14:val="none"/>
        </w:rPr>
        <w:t>MFCCを抽出するために、まずPCG信号を24msのフレームに分割します。隣接するフレームは18ms重なります。次に、各フレームにハミング窓を掛け、その窓付きフレームの64点DFT係数を計算します。</w:t>
      </w:r>
      <w:r w:rsidRPr="00756326">
        <w:rPr>
          <w:rFonts w:ascii="Cambria Math" w:eastAsia="ＭＳ Ｐゴシック" w:hAnsi="Cambria Math" w:cs="Cambria Math"/>
          <w:kern w:val="0"/>
          <w:sz w:val="24"/>
          <w14:ligatures w14:val="none"/>
        </w:rPr>
        <w:t>𝑋𝑖</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]がPCG信号の</w:t>
      </w:r>
      <w:r w:rsidRPr="00756326">
        <w:rPr>
          <w:rFonts w:ascii="Cambria Math" w:eastAsia="ＭＳ Ｐゴシック" w:hAnsi="Cambria Math" w:cs="Cambria Math"/>
          <w:kern w:val="0"/>
          <w:sz w:val="24"/>
          <w14:ligatures w14:val="none"/>
        </w:rPr>
        <w:t>𝑖</w:t>
      </w:r>
      <w:r w:rsidRPr="00756326">
        <w:rPr>
          <w:rFonts w:ascii="ＭＳ Ｐゴシック" w:eastAsia="ＭＳ Ｐゴシック" w:hAnsi="ＭＳ Ｐゴシック" w:cs="ＭＳ Ｐゴシック"/>
          <w:kern w:val="0"/>
          <w:sz w:val="24"/>
          <w14:ligatures w14:val="none"/>
        </w:rPr>
        <w:t>番目の窓付きフレームのDFT係数を表すと仮定すると、このフレームのパワースペクトルを|</w:t>
      </w:r>
      <w:r w:rsidRPr="00756326">
        <w:rPr>
          <w:rFonts w:ascii="Cambria Math" w:eastAsia="ＭＳ Ｐゴシック" w:hAnsi="Cambria Math" w:cs="Cambria Math"/>
          <w:kern w:val="0"/>
          <w:sz w:val="24"/>
          <w14:ligatures w14:val="none"/>
        </w:rPr>
        <w:t>𝑋𝑖</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]|^2/</w:t>
      </w:r>
      <w:r w:rsidRPr="00756326">
        <w:rPr>
          <w:rFonts w:ascii="Cambria Math" w:eastAsia="ＭＳ Ｐゴシック" w:hAnsi="Cambria Math" w:cs="Cambria Math"/>
          <w:kern w:val="0"/>
          <w:sz w:val="24"/>
          <w14:ligatures w14:val="none"/>
        </w:rPr>
        <w:t>𝑁</w:t>
      </w:r>
      <w:r w:rsidRPr="00756326">
        <w:rPr>
          <w:rFonts w:ascii="ＭＳ Ｐゴシック" w:eastAsia="ＭＳ Ｐゴシック" w:hAnsi="ＭＳ Ｐゴシック" w:cs="ＭＳ Ｐゴシック"/>
          <w:kern w:val="0"/>
          <w:sz w:val="24"/>
          <w14:ligatures w14:val="none"/>
        </w:rPr>
        <w:t>として推定します。次に、このフレームの全てのMelバンド内のパワーを計算します。そのために、M=20の三角フィルターを使用します【10】。</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番目のフィルターの周波数応答、</w:t>
      </w:r>
      <w:r w:rsidRPr="00756326">
        <w:rPr>
          <w:rFonts w:ascii="Cambria Math" w:eastAsia="ＭＳ Ｐゴシック" w:hAnsi="Cambria Math" w:cs="Cambria Math"/>
          <w:kern w:val="0"/>
          <w:sz w:val="24"/>
          <w14:ligatures w14:val="none"/>
        </w:rPr>
        <w:t>𝐻𝑚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)は以下のように定義されます【29】：</w:t>
      </w:r>
    </w:p>
    <w:p w14:paraId="2B18B29B" w14:textId="77777777" w:rsidR="00756326" w:rsidRPr="00756326" w:rsidRDefault="00756326" w:rsidP="00993710">
      <w:pPr>
        <w:pStyle w:val="a9"/>
        <w:widowControl/>
        <w:spacing w:after="0" w:line="240" w:lineRule="auto"/>
        <w:rPr>
          <w:rFonts w:ascii="ＭＳ Ｐゴシック" w:eastAsia="ＭＳ Ｐゴシック" w:hAnsi="ＭＳ Ｐゴシック" w:cs="ＭＳ Ｐゴシック"/>
          <w:kern w:val="0"/>
          <w:sz w:val="24"/>
          <w14:ligatures w14:val="none"/>
        </w:rPr>
      </w:pPr>
      <w:r w:rsidRPr="00756326">
        <w:rPr>
          <w:rFonts w:ascii="Cambria Math" w:eastAsia="ＭＳ Ｐゴシック" w:hAnsi="Cambria Math" w:cs="Cambria Math"/>
          <w:kern w:val="0"/>
          <w:sz w:val="24"/>
          <w14:ligatures w14:val="none"/>
        </w:rPr>
        <w:lastRenderedPageBreak/>
        <w:t>𝐻𝑚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)={0,</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&lt;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+1)−</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&lt;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+1)</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+2)−</w:t>
      </w:r>
      <w:r w:rsidRPr="00756326">
        <w:rPr>
          <w:rFonts w:ascii="Cambria Math" w:eastAsia="ＭＳ Ｐゴシック" w:hAnsi="Cambria Math" w:cs="Cambria Math"/>
          <w:kern w:val="0"/>
          <w:sz w:val="24"/>
          <w14:ligatures w14:val="none"/>
        </w:rPr>
        <w:t>𝑘𝑘𝑓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+2)−</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+1),</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+1)≤</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+2)0,</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&gt;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+2)</w:t>
      </w:r>
      <w:r w:rsidRPr="00756326">
        <w:rPr>
          <w:rFonts w:ascii="Cambria Math" w:eastAsia="ＭＳ Ｐゴシック" w:hAnsi="Cambria Math" w:cs="Cambria Math"/>
          <w:kern w:val="0"/>
          <w:sz w:val="24"/>
          <w14:ligatures w14:val="none"/>
        </w:rPr>
        <w:t>𝐻𝑚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 xml:space="preserve">) = \begin{cases} 0, &amp; </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 xml:space="preserve"> &lt;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 \frac{</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 xml:space="preserve"> -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+1) -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 &amp;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 ≤ </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 xml:space="preserve"> &lt;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 + 1) \\ \frac{</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+2) - </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+2) -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+1)}, &amp;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+1) ≤ </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 xml:space="preserve"> ≤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 + 2) \\ 0, &amp; </w:t>
      </w:r>
      <w:r w:rsidRPr="00756326">
        <w:rPr>
          <w:rFonts w:ascii="Cambria Math" w:eastAsia="ＭＳ Ｐゴシック" w:hAnsi="Cambria Math" w:cs="Cambria Math"/>
          <w:kern w:val="0"/>
          <w:sz w:val="24"/>
          <w14:ligatures w14:val="none"/>
        </w:rPr>
        <w:t>𝑘</w:t>
      </w:r>
      <w:r w:rsidRPr="00756326">
        <w:rPr>
          <w:rFonts w:ascii="ＭＳ Ｐゴシック" w:eastAsia="ＭＳ Ｐゴシック" w:hAnsi="ＭＳ Ｐゴシック" w:cs="ＭＳ Ｐゴシック"/>
          <w:kern w:val="0"/>
          <w:sz w:val="24"/>
          <w14:ligatures w14:val="none"/>
        </w:rPr>
        <w:t xml:space="preserve"> &gt; </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 xml:space="preserve"> + 2) \end{cases}Hm(k)=</w:t>
      </w:r>
      <w:r w:rsidRPr="00756326">
        <w:rPr>
          <w:rFonts w:ascii="Cambria Math" w:eastAsia="ＭＳ Ｐゴシック" w:hAnsi="Cambria Math" w:cs="Cambria Math"/>
          <w:kern w:val="0"/>
          <w:sz w:val="24"/>
          <w14:ligatures w14:val="none"/>
        </w:rPr>
        <w:t>⎩⎨⎧</w:t>
      </w:r>
      <w:r w:rsidRPr="00756326">
        <w:rPr>
          <w:rFonts w:ascii="ＭＳ Ｐゴシック" w:eastAsia="ＭＳ Ｐゴシック" w:hAnsi="ＭＳ Ｐゴシック" w:cs="ＭＳ Ｐゴシック"/>
          <w:kern w:val="0"/>
          <w:sz w:val="24"/>
          <w14:ligatures w14:val="none"/>
        </w:rPr>
        <w:t>​0,kf(m+1)−kf(m)k−kf(m)​,kf(m+2)−kf(m+1)kf(m+2)−k​,0,​k&lt;kf(m)kf(m)≤k&lt;kf(m+1)kf(m+1)≤k≤kf(m+2)k&gt;kf(m+2)​</w:t>
      </w:r>
    </w:p>
    <w:p w14:paraId="6D88A7F7" w14:textId="77777777" w:rsidR="00756326" w:rsidRPr="00756326" w:rsidRDefault="00756326" w:rsidP="00993710">
      <w:pPr>
        <w:pStyle w:val="a9"/>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756326">
        <w:rPr>
          <w:rFonts w:ascii="ＭＳ Ｐゴシック" w:eastAsia="ＭＳ Ｐゴシック" w:hAnsi="ＭＳ Ｐゴシック" w:cs="ＭＳ Ｐゴシック"/>
          <w:kern w:val="0"/>
          <w:sz w:val="24"/>
          <w14:ligatures w14:val="none"/>
        </w:rPr>
        <w:t>ここで、変数</w:t>
      </w:r>
      <w:r w:rsidRPr="00756326">
        <w:rPr>
          <w:rFonts w:ascii="Cambria Math" w:eastAsia="ＭＳ Ｐゴシック" w:hAnsi="Cambria Math" w:cs="Cambria Math"/>
          <w:kern w:val="0"/>
          <w:sz w:val="24"/>
          <w14:ligatures w14:val="none"/>
        </w:rPr>
        <w:t>𝑘𝑓</w:t>
      </w:r>
      <w:r w:rsidRPr="00756326">
        <w:rPr>
          <w:rFonts w:ascii="ＭＳ Ｐゴシック" w:eastAsia="ＭＳ Ｐゴシック" w:hAnsi="ＭＳ Ｐゴシック" w:cs="ＭＳ Ｐゴシック"/>
          <w:kern w:val="0"/>
          <w:sz w:val="24"/>
          <w14:ligatures w14:val="none"/>
        </w:rPr>
        <w:t>(</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)は</w:t>
      </w:r>
      <w:r w:rsidRPr="00756326">
        <w:rPr>
          <w:rFonts w:ascii="Cambria Math" w:eastAsia="ＭＳ Ｐゴシック" w:hAnsi="Cambria Math" w:cs="Cambria Math"/>
          <w:kern w:val="0"/>
          <w:sz w:val="24"/>
          <w14:ligatures w14:val="none"/>
        </w:rPr>
        <w:t>𝑚</w:t>
      </w:r>
      <w:r w:rsidRPr="00756326">
        <w:rPr>
          <w:rFonts w:ascii="ＭＳ Ｐゴシック" w:eastAsia="ＭＳ Ｐゴシック" w:hAnsi="ＭＳ Ｐゴシック" w:cs="ＭＳ Ｐゴシック"/>
          <w:kern w:val="0"/>
          <w:sz w:val="24"/>
          <w14:ligatures w14:val="none"/>
        </w:rPr>
        <w:t>番目の三角フィルターの中心周波数のインデックスです。</w:t>
      </w:r>
    </w:p>
    <w:p w14:paraId="3296D34E" w14:textId="77777777" w:rsidR="00D5634F" w:rsidRPr="00756326" w:rsidRDefault="00D5634F" w:rsidP="00196A6E">
      <w:pPr>
        <w:pStyle w:val="Web"/>
      </w:pPr>
    </w:p>
    <w:p w14:paraId="43C8FE6B" w14:textId="25A7D4AE" w:rsidR="00196A6E" w:rsidRDefault="00196A6E" w:rsidP="00196A6E">
      <w:pPr>
        <w:pStyle w:val="Web"/>
      </w:pPr>
      <w:r>
        <w:t>変数</w:t>
      </w:r>
      <w:r>
        <w:rPr>
          <w:rFonts w:ascii="Cambria Math" w:hAnsi="Cambria Math" w:cs="Cambria Math"/>
        </w:rPr>
        <w:t>𝑘𝑓</w:t>
      </w:r>
      <w:r>
        <w:t>(</w:t>
      </w:r>
      <w:r>
        <w:rPr>
          <w:rFonts w:ascii="Cambria Math" w:hAnsi="Cambria Math" w:cs="Cambria Math"/>
        </w:rPr>
        <w:t>𝑚</w:t>
      </w:r>
      <w:r>
        <w:t>)は</w:t>
      </w:r>
      <w:r>
        <w:rPr>
          <w:rFonts w:ascii="Cambria Math" w:hAnsi="Cambria Math" w:cs="Cambria Math"/>
        </w:rPr>
        <w:t>𝑚</w:t>
      </w:r>
      <w:r>
        <w:t>番目の三角フィルターの中心周波数のインデックスです。</w:t>
      </w:r>
      <w:r>
        <w:rPr>
          <w:rFonts w:ascii="Cambria Math" w:hAnsi="Cambria Math" w:cs="Cambria Math"/>
        </w:rPr>
        <w:t>𝑀</w:t>
      </w:r>
      <w:r>
        <w:t>個のフィルターを設計するには、合計で</w:t>
      </w:r>
      <w:r>
        <w:rPr>
          <w:rFonts w:ascii="Cambria Math" w:hAnsi="Cambria Math" w:cs="Cambria Math"/>
        </w:rPr>
        <w:t>𝑀</w:t>
      </w:r>
      <w:r>
        <w:t xml:space="preserve"> + 2個の周波数が必要です。Melスケールでの周波数(</w:t>
      </w:r>
      <w:r>
        <w:rPr>
          <w:rFonts w:ascii="Cambria Math" w:hAnsi="Cambria Math" w:cs="Cambria Math"/>
        </w:rPr>
        <w:t>𝑓𝑚𝑒𝑙</w:t>
      </w:r>
      <w:r>
        <w:t>)とヘルツでの周波数の関係は次の式で計算されます【29】：</w:t>
      </w:r>
    </w:p>
    <w:p w14:paraId="10D53992" w14:textId="77777777" w:rsidR="00196A6E" w:rsidRDefault="00196A6E" w:rsidP="00196A6E">
      <w:pPr>
        <w:pStyle w:val="Web"/>
      </w:pPr>
      <w:r>
        <w:rPr>
          <w:rStyle w:val="katex-mathml"/>
          <w:rFonts w:ascii="Cambria Math" w:hAnsi="Cambria Math" w:cs="Cambria Math"/>
        </w:rPr>
        <w:t>𝑓</w:t>
      </w:r>
      <w:proofErr w:type="spellStart"/>
      <w:r>
        <w:rPr>
          <w:rStyle w:val="katex-mathml"/>
        </w:rPr>
        <w:t>mel</w:t>
      </w:r>
      <w:proofErr w:type="spellEnd"/>
      <w:r>
        <w:rPr>
          <w:rStyle w:val="katex-mathml"/>
        </w:rPr>
        <w:t>=2595log</w:t>
      </w:r>
      <w:r>
        <w:rPr>
          <w:rStyle w:val="katex-mathml"/>
          <w:rFonts w:ascii="Cambria Math" w:hAnsi="Cambria Math" w:cs="Cambria Math"/>
        </w:rPr>
        <w:t>⁡</w:t>
      </w:r>
      <w:r>
        <w:rPr>
          <w:rStyle w:val="katex-mathml"/>
        </w:rPr>
        <w:t>10(1+</w:t>
      </w:r>
      <w:r>
        <w:rPr>
          <w:rStyle w:val="katex-mathml"/>
          <w:rFonts w:ascii="Cambria Math" w:hAnsi="Cambria Math" w:cs="Cambria Math"/>
        </w:rPr>
        <w:t>𝑓</w:t>
      </w:r>
      <w:r>
        <w:rPr>
          <w:rStyle w:val="katex-mathml"/>
        </w:rPr>
        <w:t>700)</w:t>
      </w:r>
      <w:r>
        <w:rPr>
          <w:rStyle w:val="katex-mathml"/>
          <w:rFonts w:ascii="Cambria Math" w:hAnsi="Cambria Math" w:cs="Cambria Math"/>
        </w:rPr>
        <w:t>𝑓</w:t>
      </w:r>
      <w:r>
        <w:rPr>
          <w:rStyle w:val="katex-mathml"/>
        </w:rPr>
        <w:t>_{</w:t>
      </w:r>
      <w:proofErr w:type="spellStart"/>
      <w:r>
        <w:rPr>
          <w:rStyle w:val="katex-mathml"/>
        </w:rPr>
        <w:t>mel</w:t>
      </w:r>
      <w:proofErr w:type="spellEnd"/>
      <w:r>
        <w:rPr>
          <w:rStyle w:val="katex-mathml"/>
        </w:rPr>
        <w:t>} = 2595 \log_{10}(1 + \frac{</w:t>
      </w:r>
      <w:r>
        <w:rPr>
          <w:rStyle w:val="katex-mathml"/>
          <w:rFonts w:ascii="Cambria Math" w:hAnsi="Cambria Math" w:cs="Cambria Math"/>
        </w:rPr>
        <w:t>𝑓</w:t>
      </w:r>
      <w:r>
        <w:rPr>
          <w:rStyle w:val="katex-mathml"/>
        </w:rPr>
        <w:t>}{700})</w:t>
      </w:r>
      <w:proofErr w:type="spellStart"/>
      <w:r>
        <w:rPr>
          <w:rStyle w:val="mord"/>
        </w:rPr>
        <w:t>fmel</w:t>
      </w:r>
      <w:proofErr w:type="spellEnd"/>
      <w:r>
        <w:rPr>
          <w:rStyle w:val="vlist-s"/>
        </w:rPr>
        <w:t>​</w:t>
      </w:r>
      <w:r>
        <w:rPr>
          <w:rStyle w:val="mrel"/>
        </w:rPr>
        <w:t>=</w:t>
      </w:r>
      <w:r>
        <w:rPr>
          <w:rStyle w:val="mord"/>
        </w:rPr>
        <w:t>2595</w:t>
      </w:r>
      <w:r>
        <w:rPr>
          <w:rStyle w:val="mop"/>
        </w:rPr>
        <w:t>log</w:t>
      </w:r>
      <w:r>
        <w:rPr>
          <w:rStyle w:val="mord"/>
        </w:rPr>
        <w:t>10</w:t>
      </w:r>
      <w:r>
        <w:rPr>
          <w:rStyle w:val="vlist-s"/>
        </w:rPr>
        <w:t>​</w:t>
      </w:r>
      <w:r>
        <w:rPr>
          <w:rStyle w:val="mopen"/>
        </w:rPr>
        <w:t>(</w:t>
      </w:r>
      <w:r>
        <w:rPr>
          <w:rStyle w:val="mord"/>
        </w:rPr>
        <w:t>1</w:t>
      </w:r>
      <w:r>
        <w:rPr>
          <w:rStyle w:val="mbin"/>
        </w:rPr>
        <w:t>+</w:t>
      </w:r>
      <w:r>
        <w:rPr>
          <w:rStyle w:val="mord"/>
        </w:rPr>
        <w:t>700f</w:t>
      </w:r>
      <w:r>
        <w:rPr>
          <w:rStyle w:val="vlist-s"/>
        </w:rPr>
        <w:t>​</w:t>
      </w:r>
      <w:r>
        <w:rPr>
          <w:rStyle w:val="mclose"/>
        </w:rPr>
        <w:t>)</w:t>
      </w:r>
    </w:p>
    <w:p w14:paraId="329C1168" w14:textId="77777777" w:rsidR="00671520" w:rsidRDefault="00671520" w:rsidP="00671520">
      <w:pPr>
        <w:pStyle w:val="Web"/>
      </w:pPr>
      <w:r>
        <w:t>最小および最大のMel周波数は、式(2)を使用して</w:t>
      </w:r>
      <w:r>
        <w:rPr>
          <w:rFonts w:ascii="Cambria Math" w:hAnsi="Cambria Math" w:cs="Cambria Math"/>
        </w:rPr>
        <w:t>𝑓𝑚𝑖𝑛</w:t>
      </w:r>
      <w:r>
        <w:t xml:space="preserve"> = 0と</w:t>
      </w:r>
      <w:r>
        <w:rPr>
          <w:rFonts w:ascii="Cambria Math" w:hAnsi="Cambria Math" w:cs="Cambria Math"/>
        </w:rPr>
        <w:t>𝑓𝑚𝑎𝑥</w:t>
      </w:r>
      <w:r>
        <w:t xml:space="preserve"> = 400 Hzで計算されます。その後、最小から最大のMel周波数までの</w:t>
      </w:r>
      <w:r>
        <w:rPr>
          <w:rFonts w:ascii="Cambria Math" w:hAnsi="Cambria Math" w:cs="Cambria Math"/>
        </w:rPr>
        <w:t>𝑀</w:t>
      </w:r>
      <w:r>
        <w:t xml:space="preserve"> + 2個の等間隔のMel周波数を見つけます。得られた</w:t>
      </w:r>
      <w:r>
        <w:rPr>
          <w:rFonts w:ascii="Cambria Math" w:hAnsi="Cambria Math" w:cs="Cambria Math"/>
        </w:rPr>
        <w:t>𝑀</w:t>
      </w:r>
      <w:r>
        <w:t xml:space="preserve"> + 2個のMel周波数は、式(2)の逆を使用してHzスケールに変換されます。</w:t>
      </w:r>
      <w:r>
        <w:rPr>
          <w:rFonts w:ascii="Cambria Math" w:hAnsi="Cambria Math" w:cs="Cambria Math"/>
        </w:rPr>
        <w:t>𝑀</w:t>
      </w:r>
      <w:r>
        <w:t>個の三角フィルターを設計するために必要な</w:t>
      </w:r>
      <w:r>
        <w:rPr>
          <w:rFonts w:ascii="Cambria Math" w:hAnsi="Cambria Math" w:cs="Cambria Math"/>
        </w:rPr>
        <w:t>𝑀</w:t>
      </w:r>
      <w:r>
        <w:t xml:space="preserve"> + 2個の周波数が揃ったところで、</w:t>
      </w:r>
      <w:r>
        <w:rPr>
          <w:rFonts w:ascii="Cambria Math" w:hAnsi="Cambria Math" w:cs="Cambria Math"/>
        </w:rPr>
        <w:t>𝑗</w:t>
      </w:r>
      <w:r>
        <w:t>番目の周波数に対する</w:t>
      </w:r>
      <w:r>
        <w:rPr>
          <w:rFonts w:ascii="Cambria Math" w:hAnsi="Cambria Math" w:cs="Cambria Math"/>
        </w:rPr>
        <w:t>𝑘𝑓</w:t>
      </w:r>
      <w:r>
        <w:t>インデックスは次のように計算されます：</w:t>
      </w:r>
    </w:p>
    <w:p w14:paraId="285494C1" w14:textId="77777777" w:rsidR="00671520" w:rsidRDefault="00671520" w:rsidP="00671520">
      <w:pPr>
        <w:pStyle w:val="Web"/>
      </w:pPr>
      <w:r>
        <w:rPr>
          <w:rStyle w:val="katex-mathml"/>
          <w:rFonts w:ascii="Cambria Math" w:hAnsi="Cambria Math" w:cs="Cambria Math"/>
        </w:rPr>
        <w:t>𝑘𝑓</w:t>
      </w:r>
      <w:r>
        <w:rPr>
          <w:rStyle w:val="katex-mathml"/>
        </w:rPr>
        <w:t>(</w:t>
      </w:r>
      <w:r>
        <w:rPr>
          <w:rStyle w:val="katex-mathml"/>
          <w:rFonts w:ascii="Cambria Math" w:hAnsi="Cambria Math" w:cs="Cambria Math"/>
        </w:rPr>
        <w:t>𝑗</w:t>
      </w:r>
      <w:r>
        <w:rPr>
          <w:rStyle w:val="katex-mathml"/>
        </w:rPr>
        <w:t>)=[</w:t>
      </w:r>
      <w:r>
        <w:rPr>
          <w:rStyle w:val="katex-mathml"/>
          <w:rFonts w:ascii="Cambria Math" w:hAnsi="Cambria Math" w:cs="Cambria Math"/>
        </w:rPr>
        <w:t>𝑓</w:t>
      </w:r>
      <w:r>
        <w:rPr>
          <w:rStyle w:val="katex-mathml"/>
        </w:rPr>
        <w:t>(</w:t>
      </w:r>
      <w:r>
        <w:rPr>
          <w:rStyle w:val="katex-mathml"/>
          <w:rFonts w:ascii="Cambria Math" w:hAnsi="Cambria Math" w:cs="Cambria Math"/>
        </w:rPr>
        <w:t>𝑗</w:t>
      </w:r>
      <w:r>
        <w:rPr>
          <w:rStyle w:val="katex-mathml"/>
        </w:rPr>
        <w:t>)</w:t>
      </w:r>
      <w:r>
        <w:rPr>
          <w:rStyle w:val="katex-mathml"/>
          <w:rFonts w:ascii="Cambria Math" w:hAnsi="Cambria Math" w:cs="Cambria Math"/>
        </w:rPr>
        <w:t>𝑓𝑠</w:t>
      </w:r>
      <w:r>
        <w:rPr>
          <w:rStyle w:val="katex-mathml"/>
        </w:rPr>
        <w:t>⋅</w:t>
      </w:r>
      <w:r>
        <w:rPr>
          <w:rStyle w:val="katex-mathml"/>
          <w:rFonts w:ascii="Cambria Math" w:hAnsi="Cambria Math" w:cs="Cambria Math"/>
        </w:rPr>
        <w:t>𝑁</w:t>
      </w:r>
      <w:r>
        <w:rPr>
          <w:rStyle w:val="katex-mathml"/>
        </w:rPr>
        <w:t>],0≤</w:t>
      </w:r>
      <w:r>
        <w:rPr>
          <w:rStyle w:val="katex-mathml"/>
          <w:rFonts w:ascii="Cambria Math" w:hAnsi="Cambria Math" w:cs="Cambria Math"/>
        </w:rPr>
        <w:t>𝑗</w:t>
      </w:r>
      <w:r>
        <w:rPr>
          <w:rStyle w:val="katex-mathml"/>
        </w:rPr>
        <w:t>≤</w:t>
      </w:r>
      <w:r>
        <w:rPr>
          <w:rStyle w:val="katex-mathml"/>
          <w:rFonts w:ascii="Cambria Math" w:hAnsi="Cambria Math" w:cs="Cambria Math"/>
        </w:rPr>
        <w:t>𝑀</w:t>
      </w:r>
      <w:r>
        <w:rPr>
          <w:rStyle w:val="katex-mathml"/>
        </w:rPr>
        <w:t>+1</w:t>
      </w:r>
      <w:r>
        <w:rPr>
          <w:rStyle w:val="katex-mathml"/>
          <w:rFonts w:ascii="Cambria Math" w:hAnsi="Cambria Math" w:cs="Cambria Math"/>
        </w:rPr>
        <w:t>𝑘𝑓</w:t>
      </w:r>
      <w:r>
        <w:rPr>
          <w:rStyle w:val="katex-mathml"/>
        </w:rPr>
        <w:t>(</w:t>
      </w:r>
      <w:r>
        <w:rPr>
          <w:rStyle w:val="katex-mathml"/>
          <w:rFonts w:ascii="Cambria Math" w:hAnsi="Cambria Math" w:cs="Cambria Math"/>
        </w:rPr>
        <w:t>𝑗</w:t>
      </w:r>
      <w:r>
        <w:rPr>
          <w:rStyle w:val="katex-mathml"/>
        </w:rPr>
        <w:t>) = \left[ \frac{</w:t>
      </w:r>
      <w:r>
        <w:rPr>
          <w:rStyle w:val="katex-mathml"/>
          <w:rFonts w:ascii="Cambria Math" w:hAnsi="Cambria Math" w:cs="Cambria Math"/>
        </w:rPr>
        <w:t>𝑓</w:t>
      </w:r>
      <w:r>
        <w:rPr>
          <w:rStyle w:val="katex-mathml"/>
        </w:rPr>
        <w:t>(</w:t>
      </w:r>
      <w:r>
        <w:rPr>
          <w:rStyle w:val="katex-mathml"/>
          <w:rFonts w:ascii="Cambria Math" w:hAnsi="Cambria Math" w:cs="Cambria Math"/>
        </w:rPr>
        <w:t>𝑗</w:t>
      </w:r>
      <w:r>
        <w:rPr>
          <w:rStyle w:val="katex-mathml"/>
        </w:rPr>
        <w:t>)}{</w:t>
      </w:r>
      <w:r>
        <w:rPr>
          <w:rStyle w:val="katex-mathml"/>
          <w:rFonts w:ascii="Cambria Math" w:hAnsi="Cambria Math" w:cs="Cambria Math"/>
        </w:rPr>
        <w:t>𝑓</w:t>
      </w:r>
      <w:r>
        <w:rPr>
          <w:rStyle w:val="katex-mathml"/>
        </w:rPr>
        <w:t>_{</w:t>
      </w:r>
      <w:r>
        <w:rPr>
          <w:rStyle w:val="katex-mathml"/>
          <w:rFonts w:ascii="Cambria Math" w:hAnsi="Cambria Math" w:cs="Cambria Math"/>
        </w:rPr>
        <w:t>𝑠</w:t>
      </w:r>
      <w:r>
        <w:rPr>
          <w:rStyle w:val="katex-mathml"/>
        </w:rPr>
        <w:t>}} \</w:t>
      </w:r>
      <w:proofErr w:type="spellStart"/>
      <w:r>
        <w:rPr>
          <w:rStyle w:val="katex-mathml"/>
        </w:rPr>
        <w:t>cdot</w:t>
      </w:r>
      <w:proofErr w:type="spellEnd"/>
      <w:r>
        <w:rPr>
          <w:rStyle w:val="katex-mathml"/>
        </w:rPr>
        <w:t xml:space="preserve"> </w:t>
      </w:r>
      <w:r>
        <w:rPr>
          <w:rStyle w:val="katex-mathml"/>
          <w:rFonts w:ascii="Cambria Math" w:hAnsi="Cambria Math" w:cs="Cambria Math"/>
        </w:rPr>
        <w:t>𝑁</w:t>
      </w:r>
      <w:r>
        <w:rPr>
          <w:rStyle w:val="katex-mathml"/>
        </w:rPr>
        <w:t xml:space="preserve"> \right], 0 ≤ </w:t>
      </w:r>
      <w:r>
        <w:rPr>
          <w:rStyle w:val="katex-mathml"/>
          <w:rFonts w:ascii="Cambria Math" w:hAnsi="Cambria Math" w:cs="Cambria Math"/>
        </w:rPr>
        <w:t>𝑗</w:t>
      </w:r>
      <w:r>
        <w:rPr>
          <w:rStyle w:val="katex-mathml"/>
        </w:rPr>
        <w:t xml:space="preserve"> ≤ </w:t>
      </w:r>
      <w:r>
        <w:rPr>
          <w:rStyle w:val="katex-mathml"/>
          <w:rFonts w:ascii="Cambria Math" w:hAnsi="Cambria Math" w:cs="Cambria Math"/>
        </w:rPr>
        <w:t>𝑀</w:t>
      </w:r>
      <w:r>
        <w:rPr>
          <w:rStyle w:val="katex-mathml"/>
        </w:rPr>
        <w:t xml:space="preserve"> + 1</w:t>
      </w:r>
      <w:r>
        <w:rPr>
          <w:rStyle w:val="mord"/>
        </w:rPr>
        <w:t>kf</w:t>
      </w:r>
      <w:r>
        <w:rPr>
          <w:rStyle w:val="mopen"/>
        </w:rPr>
        <w:t>(</w:t>
      </w:r>
      <w:r>
        <w:rPr>
          <w:rStyle w:val="mord"/>
        </w:rPr>
        <w:t>j</w:t>
      </w:r>
      <w:r>
        <w:rPr>
          <w:rStyle w:val="mclose"/>
        </w:rPr>
        <w:t>)</w:t>
      </w:r>
      <w:r>
        <w:rPr>
          <w:rStyle w:val="mrel"/>
        </w:rPr>
        <w:t>=</w:t>
      </w:r>
      <w:r>
        <w:rPr>
          <w:rStyle w:val="delimsizing"/>
        </w:rPr>
        <w:t>[</w:t>
      </w:r>
      <w:r>
        <w:rPr>
          <w:rStyle w:val="mord"/>
        </w:rPr>
        <w:t>fs</w:t>
      </w:r>
      <w:r>
        <w:rPr>
          <w:rStyle w:val="vlist-s"/>
        </w:rPr>
        <w:t>​</w:t>
      </w:r>
      <w:r>
        <w:rPr>
          <w:rStyle w:val="mord"/>
        </w:rPr>
        <w:t>f</w:t>
      </w:r>
      <w:r>
        <w:rPr>
          <w:rStyle w:val="mopen"/>
        </w:rPr>
        <w:t>(</w:t>
      </w:r>
      <w:r>
        <w:rPr>
          <w:rStyle w:val="mord"/>
        </w:rPr>
        <w:t>j</w:t>
      </w:r>
      <w:r>
        <w:rPr>
          <w:rStyle w:val="mclose"/>
        </w:rPr>
        <w:t>)</w:t>
      </w:r>
      <w:r>
        <w:rPr>
          <w:rStyle w:val="vlist-s"/>
        </w:rPr>
        <w:t>​</w:t>
      </w:r>
      <w:r>
        <w:rPr>
          <w:rStyle w:val="mbin"/>
        </w:rPr>
        <w:t>⋅</w:t>
      </w:r>
      <w:r>
        <w:rPr>
          <w:rStyle w:val="mord"/>
        </w:rPr>
        <w:t>N</w:t>
      </w:r>
      <w:r>
        <w:rPr>
          <w:rStyle w:val="delimsizing"/>
        </w:rPr>
        <w:t>]</w:t>
      </w:r>
      <w:r>
        <w:rPr>
          <w:rStyle w:val="mpunct"/>
        </w:rPr>
        <w:t>,</w:t>
      </w:r>
      <w:r>
        <w:rPr>
          <w:rStyle w:val="mord"/>
        </w:rPr>
        <w:t>0</w:t>
      </w:r>
      <w:r>
        <w:rPr>
          <w:rStyle w:val="mrel"/>
        </w:rPr>
        <w:t>≤</w:t>
      </w:r>
      <w:r>
        <w:rPr>
          <w:rStyle w:val="mord"/>
        </w:rPr>
        <w:t>j</w:t>
      </w:r>
      <w:r>
        <w:rPr>
          <w:rStyle w:val="mrel"/>
        </w:rPr>
        <w:t>≤</w:t>
      </w:r>
      <w:r>
        <w:rPr>
          <w:rStyle w:val="mord"/>
        </w:rPr>
        <w:t>M</w:t>
      </w:r>
      <w:r>
        <w:rPr>
          <w:rStyle w:val="mbin"/>
        </w:rPr>
        <w:t>+</w:t>
      </w:r>
      <w:r>
        <w:rPr>
          <w:rStyle w:val="mord"/>
        </w:rPr>
        <w:t>1</w:t>
      </w:r>
    </w:p>
    <w:p w14:paraId="4FDB7F03" w14:textId="77777777" w:rsidR="00671520" w:rsidRDefault="00671520" w:rsidP="00671520">
      <w:pPr>
        <w:pStyle w:val="Web"/>
      </w:pPr>
      <w:r>
        <w:t>ここで、</w:t>
      </w:r>
      <w:r>
        <w:rPr>
          <w:rFonts w:ascii="Cambria Math" w:hAnsi="Cambria Math" w:cs="Cambria Math"/>
        </w:rPr>
        <w:t>𝑓</w:t>
      </w:r>
      <w:r>
        <w:t>(</w:t>
      </w:r>
      <w:r>
        <w:rPr>
          <w:rFonts w:ascii="Cambria Math" w:hAnsi="Cambria Math" w:cs="Cambria Math"/>
        </w:rPr>
        <w:t>𝑗</w:t>
      </w:r>
      <w:r>
        <w:t>)はHzスケールで設計された</w:t>
      </w:r>
      <w:r>
        <w:rPr>
          <w:rFonts w:ascii="Cambria Math" w:hAnsi="Cambria Math" w:cs="Cambria Math"/>
        </w:rPr>
        <w:t>𝑀</w:t>
      </w:r>
      <w:r>
        <w:t xml:space="preserve"> + 2個の周波数の1つ、</w:t>
      </w:r>
      <w:r>
        <w:rPr>
          <w:rFonts w:ascii="Cambria Math" w:hAnsi="Cambria Math" w:cs="Cambria Math"/>
        </w:rPr>
        <w:t>𝑓</w:t>
      </w:r>
      <w:r>
        <w:t>_{</w:t>
      </w:r>
      <w:r>
        <w:rPr>
          <w:rFonts w:ascii="Cambria Math" w:hAnsi="Cambria Math" w:cs="Cambria Math"/>
        </w:rPr>
        <w:t>𝑠</w:t>
      </w:r>
      <w:r>
        <w:t>}はサンプリング周波数、</w:t>
      </w:r>
      <w:r>
        <w:rPr>
          <w:rFonts w:ascii="Cambria Math" w:hAnsi="Cambria Math" w:cs="Cambria Math"/>
        </w:rPr>
        <w:t>𝑁</w:t>
      </w:r>
      <w:r>
        <w:t>はDFT係数の数です。</w:t>
      </w:r>
    </w:p>
    <w:p w14:paraId="7EDF90E0" w14:textId="77777777" w:rsidR="00927F86" w:rsidRDefault="00927F86" w:rsidP="00927F86">
      <w:pPr>
        <w:pStyle w:val="Web"/>
      </w:pPr>
      <w:r>
        <w:rPr>
          <w:rFonts w:ascii="Cambria Math" w:hAnsi="Cambria Math" w:cs="Cambria Math"/>
        </w:rPr>
        <w:t>𝑖</w:t>
      </w:r>
      <w:r>
        <w:t>番目のフレームの</w:t>
      </w:r>
      <w:r>
        <w:rPr>
          <w:rFonts w:ascii="Cambria Math" w:hAnsi="Cambria Math" w:cs="Cambria Math"/>
        </w:rPr>
        <w:t>𝑚</w:t>
      </w:r>
      <w:r>
        <w:t>番目のMelバンド内のパワー、</w:t>
      </w:r>
      <w:r>
        <w:rPr>
          <w:rFonts w:ascii="Cambria Math" w:hAnsi="Cambria Math" w:cs="Cambria Math"/>
        </w:rPr>
        <w:t>𝑃𝑖</w:t>
      </w:r>
      <w:r>
        <w:t>[</w:t>
      </w:r>
      <w:r>
        <w:rPr>
          <w:rFonts w:ascii="Cambria Math" w:hAnsi="Cambria Math" w:cs="Cambria Math"/>
        </w:rPr>
        <w:t>𝑚</w:t>
      </w:r>
      <w:r>
        <w:t>]、は次のように推定されます：</w:t>
      </w:r>
    </w:p>
    <w:p w14:paraId="61C5CBB2" w14:textId="77777777" w:rsidR="00927F86" w:rsidRDefault="00927F86" w:rsidP="00927F86">
      <w:pPr>
        <w:pStyle w:val="Web"/>
      </w:pPr>
      <w:r>
        <w:rPr>
          <w:rStyle w:val="katex-mathml"/>
          <w:rFonts w:ascii="Cambria Math" w:hAnsi="Cambria Math" w:cs="Cambria Math"/>
        </w:rPr>
        <w:t>𝑃𝑖</w:t>
      </w:r>
      <w:r>
        <w:rPr>
          <w:rStyle w:val="katex-mathml"/>
        </w:rPr>
        <w:t>[</w:t>
      </w:r>
      <w:r>
        <w:rPr>
          <w:rStyle w:val="katex-mathml"/>
          <w:rFonts w:ascii="Cambria Math" w:hAnsi="Cambria Math" w:cs="Cambria Math"/>
        </w:rPr>
        <w:t>𝑚</w:t>
      </w:r>
      <w:r>
        <w:rPr>
          <w:rStyle w:val="katex-mathml"/>
        </w:rPr>
        <w:t>]=10log</w:t>
      </w:r>
      <w:r>
        <w:rPr>
          <w:rStyle w:val="katex-mathml"/>
          <w:rFonts w:ascii="Cambria Math" w:hAnsi="Cambria Math" w:cs="Cambria Math"/>
        </w:rPr>
        <w:t>⁡</w:t>
      </w:r>
      <w:r>
        <w:rPr>
          <w:rStyle w:val="katex-mathml"/>
        </w:rPr>
        <w:t>10(1</w:t>
      </w:r>
      <w:r>
        <w:rPr>
          <w:rStyle w:val="katex-mathml"/>
          <w:rFonts w:ascii="Cambria Math" w:hAnsi="Cambria Math" w:cs="Cambria Math"/>
        </w:rPr>
        <w:t>𝑁</w:t>
      </w:r>
      <w:r>
        <w:rPr>
          <w:rStyle w:val="katex-mathml"/>
        </w:rPr>
        <w:t>∑</w:t>
      </w:r>
      <w:r>
        <w:rPr>
          <w:rStyle w:val="katex-mathml"/>
          <w:rFonts w:ascii="Cambria Math" w:hAnsi="Cambria Math" w:cs="Cambria Math"/>
        </w:rPr>
        <w:t>𝑘</w:t>
      </w:r>
      <w:r>
        <w:rPr>
          <w:rStyle w:val="katex-mathml"/>
        </w:rPr>
        <w:t>=0</w:t>
      </w:r>
      <w:r>
        <w:rPr>
          <w:rStyle w:val="katex-mathml"/>
          <w:rFonts w:ascii="Cambria Math" w:hAnsi="Cambria Math" w:cs="Cambria Math"/>
        </w:rPr>
        <w:t>𝑁</w:t>
      </w:r>
      <w:r>
        <w:rPr>
          <w:rStyle w:val="katex-mathml"/>
        </w:rPr>
        <w:t>−1∣</w:t>
      </w:r>
      <w:r>
        <w:rPr>
          <w:rStyle w:val="katex-mathml"/>
          <w:rFonts w:ascii="Cambria Math" w:hAnsi="Cambria Math" w:cs="Cambria Math"/>
        </w:rPr>
        <w:t>𝑋𝑖</w:t>
      </w:r>
      <w:r>
        <w:rPr>
          <w:rStyle w:val="katex-mathml"/>
        </w:rPr>
        <w:t>[</w:t>
      </w:r>
      <w:r>
        <w:rPr>
          <w:rStyle w:val="katex-mathml"/>
          <w:rFonts w:ascii="Cambria Math" w:hAnsi="Cambria Math" w:cs="Cambria Math"/>
        </w:rPr>
        <w:t>𝑘</w:t>
      </w:r>
      <w:r>
        <w:rPr>
          <w:rStyle w:val="katex-mathml"/>
        </w:rPr>
        <w:t>]∣2∣</w:t>
      </w:r>
      <w:r>
        <w:rPr>
          <w:rStyle w:val="katex-mathml"/>
          <w:rFonts w:ascii="Cambria Math" w:hAnsi="Cambria Math" w:cs="Cambria Math"/>
        </w:rPr>
        <w:t>𝐻𝑚</w:t>
      </w:r>
      <w:r>
        <w:rPr>
          <w:rStyle w:val="katex-mathml"/>
        </w:rPr>
        <w:t>[</w:t>
      </w:r>
      <w:r>
        <w:rPr>
          <w:rStyle w:val="katex-mathml"/>
          <w:rFonts w:ascii="Cambria Math" w:hAnsi="Cambria Math" w:cs="Cambria Math"/>
        </w:rPr>
        <w:t>𝑘</w:t>
      </w:r>
      <w:r>
        <w:rPr>
          <w:rStyle w:val="katex-mathml"/>
        </w:rPr>
        <w:t>]∣2)</w:t>
      </w:r>
      <w:r>
        <w:rPr>
          <w:rStyle w:val="katex-mathml"/>
          <w:rFonts w:ascii="Cambria Math" w:hAnsi="Cambria Math" w:cs="Cambria Math"/>
        </w:rPr>
        <w:t>𝑃𝑖</w:t>
      </w:r>
      <w:r>
        <w:rPr>
          <w:rStyle w:val="katex-mathml"/>
        </w:rPr>
        <w:t>[</w:t>
      </w:r>
      <w:r>
        <w:rPr>
          <w:rStyle w:val="katex-mathml"/>
          <w:rFonts w:ascii="Cambria Math" w:hAnsi="Cambria Math" w:cs="Cambria Math"/>
        </w:rPr>
        <w:t>𝑚</w:t>
      </w:r>
      <w:r>
        <w:rPr>
          <w:rStyle w:val="katex-mathml"/>
        </w:rPr>
        <w:t>] = 10 \log_{10} \left( \frac{1}{</w:t>
      </w:r>
      <w:r>
        <w:rPr>
          <w:rStyle w:val="katex-mathml"/>
          <w:rFonts w:ascii="Cambria Math" w:hAnsi="Cambria Math" w:cs="Cambria Math"/>
        </w:rPr>
        <w:t>𝑁</w:t>
      </w:r>
      <w:r>
        <w:rPr>
          <w:rStyle w:val="katex-mathml"/>
        </w:rPr>
        <w:t>} \sum_{</w:t>
      </w:r>
      <w:r>
        <w:rPr>
          <w:rStyle w:val="katex-mathml"/>
          <w:rFonts w:ascii="Cambria Math" w:hAnsi="Cambria Math" w:cs="Cambria Math"/>
        </w:rPr>
        <w:t>𝑘</w:t>
      </w:r>
      <w:r>
        <w:rPr>
          <w:rStyle w:val="katex-mathml"/>
        </w:rPr>
        <w:t>=0}^{</w:t>
      </w:r>
      <w:r>
        <w:rPr>
          <w:rStyle w:val="katex-mathml"/>
          <w:rFonts w:ascii="Cambria Math" w:hAnsi="Cambria Math" w:cs="Cambria Math"/>
        </w:rPr>
        <w:t>𝑁</w:t>
      </w:r>
      <w:r>
        <w:rPr>
          <w:rStyle w:val="katex-mathml"/>
        </w:rPr>
        <w:t>-1} |</w:t>
      </w:r>
      <w:r>
        <w:rPr>
          <w:rStyle w:val="katex-mathml"/>
          <w:rFonts w:ascii="Cambria Math" w:hAnsi="Cambria Math" w:cs="Cambria Math"/>
        </w:rPr>
        <w:t>𝑋𝑖</w:t>
      </w:r>
      <w:r>
        <w:rPr>
          <w:rStyle w:val="katex-mathml"/>
        </w:rPr>
        <w:t>[</w:t>
      </w:r>
      <w:r>
        <w:rPr>
          <w:rStyle w:val="katex-mathml"/>
          <w:rFonts w:ascii="Cambria Math" w:hAnsi="Cambria Math" w:cs="Cambria Math"/>
        </w:rPr>
        <w:t>𝑘</w:t>
      </w:r>
      <w:r>
        <w:rPr>
          <w:rStyle w:val="katex-mathml"/>
        </w:rPr>
        <w:t>]|^2 |</w:t>
      </w:r>
      <w:r>
        <w:rPr>
          <w:rStyle w:val="katex-mathml"/>
          <w:rFonts w:ascii="Cambria Math" w:hAnsi="Cambria Math" w:cs="Cambria Math"/>
        </w:rPr>
        <w:t>𝐻𝑚</w:t>
      </w:r>
      <w:r>
        <w:rPr>
          <w:rStyle w:val="katex-mathml"/>
        </w:rPr>
        <w:t>[</w:t>
      </w:r>
      <w:r>
        <w:rPr>
          <w:rStyle w:val="katex-mathml"/>
          <w:rFonts w:ascii="Cambria Math" w:hAnsi="Cambria Math" w:cs="Cambria Math"/>
        </w:rPr>
        <w:t>𝑘</w:t>
      </w:r>
      <w:r>
        <w:rPr>
          <w:rStyle w:val="katex-mathml"/>
        </w:rPr>
        <w:t>]|^2 \right)</w:t>
      </w:r>
      <w:r>
        <w:rPr>
          <w:rStyle w:val="mord"/>
        </w:rPr>
        <w:t>Pi</w:t>
      </w:r>
      <w:r>
        <w:rPr>
          <w:rStyle w:val="mopen"/>
        </w:rPr>
        <w:t>[</w:t>
      </w:r>
      <w:r>
        <w:rPr>
          <w:rStyle w:val="mord"/>
        </w:rPr>
        <w:t>m</w:t>
      </w:r>
      <w:r>
        <w:rPr>
          <w:rStyle w:val="mclose"/>
        </w:rPr>
        <w:t>]</w:t>
      </w:r>
      <w:r>
        <w:rPr>
          <w:rStyle w:val="mrel"/>
        </w:rPr>
        <w:t>=</w:t>
      </w:r>
      <w:r>
        <w:rPr>
          <w:rStyle w:val="mord"/>
        </w:rPr>
        <w:t>10</w:t>
      </w:r>
      <w:r>
        <w:rPr>
          <w:rStyle w:val="mop"/>
        </w:rPr>
        <w:t>log</w:t>
      </w:r>
      <w:r>
        <w:rPr>
          <w:rStyle w:val="mord"/>
        </w:rPr>
        <w:t>10</w:t>
      </w:r>
      <w:r>
        <w:rPr>
          <w:rStyle w:val="vlist-s"/>
        </w:rPr>
        <w:t>​</w:t>
      </w:r>
      <w:r>
        <w:rPr>
          <w:rStyle w:val="delimsizing"/>
        </w:rPr>
        <w:t>(</w:t>
      </w:r>
      <w:r>
        <w:rPr>
          <w:rStyle w:val="mord"/>
        </w:rPr>
        <w:t>N1</w:t>
      </w:r>
      <w:r>
        <w:rPr>
          <w:rStyle w:val="vlist-s"/>
        </w:rPr>
        <w:t>​</w:t>
      </w:r>
      <w:r>
        <w:rPr>
          <w:rStyle w:val="mop"/>
        </w:rPr>
        <w:t>∑</w:t>
      </w:r>
      <w:r>
        <w:rPr>
          <w:rStyle w:val="mord"/>
        </w:rPr>
        <w:t>k</w:t>
      </w:r>
      <w:r>
        <w:rPr>
          <w:rStyle w:val="mrel"/>
        </w:rPr>
        <w:t>=</w:t>
      </w:r>
      <w:r>
        <w:rPr>
          <w:rStyle w:val="mord"/>
        </w:rPr>
        <w:t>0N</w:t>
      </w:r>
      <w:r>
        <w:rPr>
          <w:rStyle w:val="mbin"/>
        </w:rPr>
        <w:t>−</w:t>
      </w:r>
      <w:r>
        <w:rPr>
          <w:rStyle w:val="mord"/>
        </w:rPr>
        <w:t>1</w:t>
      </w:r>
      <w:r>
        <w:rPr>
          <w:rStyle w:val="vlist-s"/>
        </w:rPr>
        <w:t>​</w:t>
      </w:r>
      <w:r>
        <w:rPr>
          <w:rStyle w:val="mord"/>
        </w:rPr>
        <w:t>∣Xi</w:t>
      </w:r>
      <w:r>
        <w:rPr>
          <w:rStyle w:val="mopen"/>
        </w:rPr>
        <w:t>[</w:t>
      </w:r>
      <w:r>
        <w:rPr>
          <w:rStyle w:val="mord"/>
        </w:rPr>
        <w:t>k</w:t>
      </w:r>
      <w:r>
        <w:rPr>
          <w:rStyle w:val="mclose"/>
        </w:rPr>
        <w:t>]</w:t>
      </w:r>
      <w:r>
        <w:rPr>
          <w:rStyle w:val="mord"/>
        </w:rPr>
        <w:t>∣2∣Hm</w:t>
      </w:r>
      <w:r>
        <w:rPr>
          <w:rStyle w:val="mopen"/>
        </w:rPr>
        <w:t>[</w:t>
      </w:r>
      <w:r>
        <w:rPr>
          <w:rStyle w:val="mord"/>
        </w:rPr>
        <w:t>k</w:t>
      </w:r>
      <w:r>
        <w:rPr>
          <w:rStyle w:val="mclose"/>
        </w:rPr>
        <w:t>]</w:t>
      </w:r>
      <w:r>
        <w:rPr>
          <w:rStyle w:val="mord"/>
        </w:rPr>
        <w:t>∣2</w:t>
      </w:r>
      <w:r>
        <w:rPr>
          <w:rStyle w:val="delimsizing"/>
        </w:rPr>
        <w:t>)</w:t>
      </w:r>
    </w:p>
    <w:p w14:paraId="7C246246" w14:textId="77777777" w:rsidR="00927F86" w:rsidRDefault="00927F86" w:rsidP="00927F86">
      <w:pPr>
        <w:pStyle w:val="Web"/>
      </w:pPr>
      <w:r>
        <w:lastRenderedPageBreak/>
        <w:t>ここで、</w:t>
      </w:r>
      <w:r>
        <w:rPr>
          <w:rFonts w:ascii="Cambria Math" w:hAnsi="Cambria Math" w:cs="Cambria Math"/>
        </w:rPr>
        <w:t>𝑁</w:t>
      </w:r>
      <w:r>
        <w:t>はDFT係数の数です。</w:t>
      </w:r>
    </w:p>
    <w:p w14:paraId="51E1978B" w14:textId="77777777" w:rsidR="0024264F" w:rsidRDefault="0024264F" w:rsidP="0024264F">
      <w:pPr>
        <w:pStyle w:val="Web"/>
      </w:pPr>
      <w:r>
        <w:t>最後に、</w:t>
      </w:r>
      <w:r>
        <w:rPr>
          <w:rFonts w:ascii="Cambria Math" w:hAnsi="Cambria Math" w:cs="Cambria Math"/>
        </w:rPr>
        <w:t>𝑖</w:t>
      </w:r>
      <w:r>
        <w:t>番目のフレームのMFCC、</w:t>
      </w:r>
      <w:r>
        <w:rPr>
          <w:rFonts w:ascii="Cambria Math" w:hAnsi="Cambria Math" w:cs="Cambria Math"/>
        </w:rPr>
        <w:t>𝐶𝑖</w:t>
      </w:r>
      <w:r>
        <w:t>[</w:t>
      </w:r>
      <w:r>
        <w:rPr>
          <w:rFonts w:ascii="Cambria Math" w:hAnsi="Cambria Math" w:cs="Cambria Math"/>
        </w:rPr>
        <w:t>𝑘</w:t>
      </w:r>
      <w:r>
        <w:t>′]は、</w:t>
      </w:r>
      <w:r>
        <w:rPr>
          <w:rFonts w:ascii="Cambria Math" w:hAnsi="Cambria Math" w:cs="Cambria Math"/>
        </w:rPr>
        <w:t>𝑃𝑖</w:t>
      </w:r>
      <w:r>
        <w:t>[</w:t>
      </w:r>
      <w:r>
        <w:rPr>
          <w:rFonts w:ascii="Cambria Math" w:hAnsi="Cambria Math" w:cs="Cambria Math"/>
        </w:rPr>
        <w:t>𝑚</w:t>
      </w:r>
      <w:r>
        <w:t>]からタイプIIの離散コサイン変換(DCT-II)によって計算されます：</w:t>
      </w:r>
    </w:p>
    <w:p w14:paraId="567F7F38" w14:textId="77777777" w:rsidR="0024264F" w:rsidRDefault="0024264F" w:rsidP="0024264F">
      <w:pPr>
        <w:pStyle w:val="Web"/>
      </w:pPr>
      <w:r>
        <w:rPr>
          <w:rStyle w:val="katex-mathml"/>
          <w:rFonts w:ascii="Cambria Math" w:hAnsi="Cambria Math" w:cs="Cambria Math"/>
        </w:rPr>
        <w:t>𝐶𝑖</w:t>
      </w:r>
      <w:r>
        <w:rPr>
          <w:rStyle w:val="katex-mathml"/>
        </w:rPr>
        <w:t>[</w:t>
      </w:r>
      <w:r>
        <w:rPr>
          <w:rStyle w:val="katex-mathml"/>
          <w:rFonts w:ascii="Cambria Math" w:hAnsi="Cambria Math" w:cs="Cambria Math"/>
        </w:rPr>
        <w:t>𝑘</w:t>
      </w:r>
      <w:r>
        <w:rPr>
          <w:rStyle w:val="katex-mathml"/>
        </w:rPr>
        <w:t>′]=∑</w:t>
      </w:r>
      <w:r>
        <w:rPr>
          <w:rStyle w:val="katex-mathml"/>
          <w:rFonts w:ascii="Cambria Math" w:hAnsi="Cambria Math" w:cs="Cambria Math"/>
        </w:rPr>
        <w:t>𝑚</w:t>
      </w:r>
      <w:r>
        <w:rPr>
          <w:rStyle w:val="katex-mathml"/>
        </w:rPr>
        <w:t>=0</w:t>
      </w:r>
      <w:r>
        <w:rPr>
          <w:rStyle w:val="katex-mathml"/>
          <w:rFonts w:ascii="Cambria Math" w:hAnsi="Cambria Math" w:cs="Cambria Math"/>
        </w:rPr>
        <w:t>𝑀</w:t>
      </w:r>
      <w:r>
        <w:rPr>
          <w:rStyle w:val="katex-mathml"/>
        </w:rPr>
        <w:t>−1</w:t>
      </w:r>
      <w:r>
        <w:rPr>
          <w:rStyle w:val="katex-mathml"/>
          <w:rFonts w:ascii="Cambria Math" w:hAnsi="Cambria Math" w:cs="Cambria Math"/>
        </w:rPr>
        <w:t>𝑃𝑖</w:t>
      </w:r>
      <w:r>
        <w:rPr>
          <w:rStyle w:val="katex-mathml"/>
        </w:rPr>
        <w:t>[</w:t>
      </w:r>
      <w:r>
        <w:rPr>
          <w:rStyle w:val="katex-mathml"/>
          <w:rFonts w:ascii="Cambria Math" w:hAnsi="Cambria Math" w:cs="Cambria Math"/>
        </w:rPr>
        <w:t>𝑚</w:t>
      </w:r>
      <w:r>
        <w:rPr>
          <w:rStyle w:val="katex-mathml"/>
        </w:rPr>
        <w:t>]cos</w:t>
      </w:r>
      <w:r>
        <w:rPr>
          <w:rStyle w:val="katex-mathml"/>
          <w:rFonts w:ascii="Cambria Math" w:hAnsi="Cambria Math" w:cs="Cambria Math"/>
        </w:rPr>
        <w:t>⁡</w:t>
      </w:r>
      <w:r>
        <w:rPr>
          <w:rStyle w:val="katex-mathml"/>
        </w:rPr>
        <w:t>(</w:t>
      </w:r>
      <w:r>
        <w:rPr>
          <w:rStyle w:val="katex-mathml"/>
          <w:rFonts w:ascii="Cambria Math" w:hAnsi="Cambria Math" w:cs="Cambria Math"/>
        </w:rPr>
        <w:t>𝜋𝑀</w:t>
      </w:r>
      <w:r>
        <w:rPr>
          <w:rStyle w:val="katex-mathml"/>
        </w:rPr>
        <w:t>(</w:t>
      </w:r>
      <w:r>
        <w:rPr>
          <w:rStyle w:val="katex-mathml"/>
          <w:rFonts w:ascii="Cambria Math" w:hAnsi="Cambria Math" w:cs="Cambria Math"/>
        </w:rPr>
        <w:t>𝑚</w:t>
      </w:r>
      <w:r>
        <w:rPr>
          <w:rStyle w:val="katex-mathml"/>
        </w:rPr>
        <w:t>+12)</w:t>
      </w:r>
      <w:r>
        <w:rPr>
          <w:rStyle w:val="katex-mathml"/>
          <w:rFonts w:ascii="Cambria Math" w:hAnsi="Cambria Math" w:cs="Cambria Math"/>
        </w:rPr>
        <w:t>𝑘</w:t>
      </w:r>
      <w:r>
        <w:rPr>
          <w:rStyle w:val="katex-mathml"/>
        </w:rPr>
        <w:t>′),0≤</w:t>
      </w:r>
      <w:r>
        <w:rPr>
          <w:rStyle w:val="katex-mathml"/>
          <w:rFonts w:ascii="Cambria Math" w:hAnsi="Cambria Math" w:cs="Cambria Math"/>
        </w:rPr>
        <w:t>𝑘</w:t>
      </w:r>
      <w:r>
        <w:rPr>
          <w:rStyle w:val="katex-mathml"/>
        </w:rPr>
        <w:t>′≤</w:t>
      </w:r>
      <w:r>
        <w:rPr>
          <w:rStyle w:val="katex-mathml"/>
          <w:rFonts w:ascii="Cambria Math" w:hAnsi="Cambria Math" w:cs="Cambria Math"/>
        </w:rPr>
        <w:t>𝑀</w:t>
      </w:r>
      <w:r>
        <w:rPr>
          <w:rStyle w:val="katex-mathml"/>
        </w:rPr>
        <w:t>−1</w:t>
      </w:r>
      <w:r>
        <w:rPr>
          <w:rStyle w:val="katex-mathml"/>
          <w:rFonts w:ascii="Cambria Math" w:hAnsi="Cambria Math" w:cs="Cambria Math"/>
        </w:rPr>
        <w:t>𝐶𝑖</w:t>
      </w:r>
      <w:r>
        <w:rPr>
          <w:rStyle w:val="katex-mathml"/>
        </w:rPr>
        <w:t>[</w:t>
      </w:r>
      <w:r>
        <w:rPr>
          <w:rStyle w:val="katex-mathml"/>
          <w:rFonts w:ascii="Cambria Math" w:hAnsi="Cambria Math" w:cs="Cambria Math"/>
        </w:rPr>
        <w:t>𝑘</w:t>
      </w:r>
      <w:r>
        <w:rPr>
          <w:rStyle w:val="katex-mathml"/>
        </w:rPr>
        <w:t>′] = \sum_{</w:t>
      </w:r>
      <w:r>
        <w:rPr>
          <w:rStyle w:val="katex-mathml"/>
          <w:rFonts w:ascii="Cambria Math" w:hAnsi="Cambria Math" w:cs="Cambria Math"/>
        </w:rPr>
        <w:t>𝑚</w:t>
      </w:r>
      <w:r>
        <w:rPr>
          <w:rStyle w:val="katex-mathml"/>
        </w:rPr>
        <w:t>=0}^{</w:t>
      </w:r>
      <w:r>
        <w:rPr>
          <w:rStyle w:val="katex-mathml"/>
          <w:rFonts w:ascii="Cambria Math" w:hAnsi="Cambria Math" w:cs="Cambria Math"/>
        </w:rPr>
        <w:t>𝑀</w:t>
      </w:r>
      <w:r>
        <w:rPr>
          <w:rStyle w:val="katex-mathml"/>
        </w:rPr>
        <w:t xml:space="preserve">-1} </w:t>
      </w:r>
      <w:r>
        <w:rPr>
          <w:rStyle w:val="katex-mathml"/>
          <w:rFonts w:ascii="Cambria Math" w:hAnsi="Cambria Math" w:cs="Cambria Math"/>
        </w:rPr>
        <w:t>𝑃𝑖</w:t>
      </w:r>
      <w:r>
        <w:rPr>
          <w:rStyle w:val="katex-mathml"/>
        </w:rPr>
        <w:t>[</w:t>
      </w:r>
      <w:r>
        <w:rPr>
          <w:rStyle w:val="katex-mathml"/>
          <w:rFonts w:ascii="Cambria Math" w:hAnsi="Cambria Math" w:cs="Cambria Math"/>
        </w:rPr>
        <w:t>𝑚</w:t>
      </w:r>
      <w:r>
        <w:rPr>
          <w:rStyle w:val="katex-mathml"/>
        </w:rPr>
        <w:t>] \cos \left( \frac{</w:t>
      </w:r>
      <w:r>
        <w:rPr>
          <w:rStyle w:val="katex-mathml"/>
          <w:rFonts w:ascii="Cambria Math" w:hAnsi="Cambria Math" w:cs="Cambria Math"/>
        </w:rPr>
        <w:t>𝜋</w:t>
      </w:r>
      <w:r>
        <w:rPr>
          <w:rStyle w:val="katex-mathml"/>
        </w:rPr>
        <w:t>}{</w:t>
      </w:r>
      <w:r>
        <w:rPr>
          <w:rStyle w:val="katex-mathml"/>
          <w:rFonts w:ascii="Cambria Math" w:hAnsi="Cambria Math" w:cs="Cambria Math"/>
        </w:rPr>
        <w:t>𝑀</w:t>
      </w:r>
      <w:r>
        <w:rPr>
          <w:rStyle w:val="katex-mathml"/>
        </w:rPr>
        <w:t xml:space="preserve">} \left( </w:t>
      </w:r>
      <w:r>
        <w:rPr>
          <w:rStyle w:val="katex-mathml"/>
          <w:rFonts w:ascii="Cambria Math" w:hAnsi="Cambria Math" w:cs="Cambria Math"/>
        </w:rPr>
        <w:t>𝑚</w:t>
      </w:r>
      <w:r>
        <w:rPr>
          <w:rStyle w:val="katex-mathml"/>
        </w:rPr>
        <w:t xml:space="preserve"> + \frac{1}{2} \right) </w:t>
      </w:r>
      <w:r>
        <w:rPr>
          <w:rStyle w:val="katex-mathml"/>
          <w:rFonts w:ascii="Cambria Math" w:hAnsi="Cambria Math" w:cs="Cambria Math"/>
        </w:rPr>
        <w:t>𝑘</w:t>
      </w:r>
      <w:r>
        <w:rPr>
          <w:rStyle w:val="katex-mathml"/>
        </w:rPr>
        <w:t xml:space="preserve">′ \right), 0 ≤ </w:t>
      </w:r>
      <w:r>
        <w:rPr>
          <w:rStyle w:val="katex-mathml"/>
          <w:rFonts w:ascii="Cambria Math" w:hAnsi="Cambria Math" w:cs="Cambria Math"/>
        </w:rPr>
        <w:t>𝑘</w:t>
      </w:r>
      <w:r>
        <w:rPr>
          <w:rStyle w:val="katex-mathml"/>
        </w:rPr>
        <w:t xml:space="preserve">′ ≤ </w:t>
      </w:r>
      <w:r>
        <w:rPr>
          <w:rStyle w:val="katex-mathml"/>
          <w:rFonts w:ascii="Cambria Math" w:hAnsi="Cambria Math" w:cs="Cambria Math"/>
        </w:rPr>
        <w:t>𝑀</w:t>
      </w:r>
      <w:r>
        <w:rPr>
          <w:rStyle w:val="katex-mathml"/>
        </w:rPr>
        <w:t>-1</w:t>
      </w:r>
      <w:r>
        <w:rPr>
          <w:rStyle w:val="mord"/>
        </w:rPr>
        <w:t>Ci</w:t>
      </w:r>
      <w:r>
        <w:rPr>
          <w:rStyle w:val="mopen"/>
        </w:rPr>
        <w:t>[</w:t>
      </w:r>
      <w:r>
        <w:rPr>
          <w:rStyle w:val="mord"/>
        </w:rPr>
        <w:t>k′</w:t>
      </w:r>
      <w:r>
        <w:rPr>
          <w:rStyle w:val="mclose"/>
        </w:rPr>
        <w:t>]</w:t>
      </w:r>
      <w:r>
        <w:rPr>
          <w:rStyle w:val="mrel"/>
        </w:rPr>
        <w:t>=</w:t>
      </w:r>
      <w:r>
        <w:rPr>
          <w:rStyle w:val="mop"/>
        </w:rPr>
        <w:t>∑</w:t>
      </w:r>
      <w:r>
        <w:rPr>
          <w:rStyle w:val="mord"/>
        </w:rPr>
        <w:t>m</w:t>
      </w:r>
      <w:r>
        <w:rPr>
          <w:rStyle w:val="mrel"/>
        </w:rPr>
        <w:t>=</w:t>
      </w:r>
      <w:r>
        <w:rPr>
          <w:rStyle w:val="mord"/>
        </w:rPr>
        <w:t>0M</w:t>
      </w:r>
      <w:r>
        <w:rPr>
          <w:rStyle w:val="mbin"/>
        </w:rPr>
        <w:t>−</w:t>
      </w:r>
      <w:r>
        <w:rPr>
          <w:rStyle w:val="mord"/>
        </w:rPr>
        <w:t>1</w:t>
      </w:r>
      <w:r>
        <w:rPr>
          <w:rStyle w:val="vlist-s"/>
        </w:rPr>
        <w:t>​</w:t>
      </w:r>
      <w:r>
        <w:rPr>
          <w:rStyle w:val="mord"/>
        </w:rPr>
        <w:t>Pi</w:t>
      </w:r>
      <w:r>
        <w:rPr>
          <w:rStyle w:val="mopen"/>
        </w:rPr>
        <w:t>[</w:t>
      </w:r>
      <w:r>
        <w:rPr>
          <w:rStyle w:val="mord"/>
        </w:rPr>
        <w:t>m</w:t>
      </w:r>
      <w:r>
        <w:rPr>
          <w:rStyle w:val="mclose"/>
        </w:rPr>
        <w:t>]</w:t>
      </w:r>
      <w:r>
        <w:rPr>
          <w:rStyle w:val="mop"/>
        </w:rPr>
        <w:t>cos</w:t>
      </w:r>
      <w:r>
        <w:rPr>
          <w:rStyle w:val="delimsizing"/>
        </w:rPr>
        <w:t>(</w:t>
      </w:r>
      <w:r>
        <w:rPr>
          <w:rStyle w:val="mord"/>
        </w:rPr>
        <w:t>M</w:t>
      </w:r>
      <w:r>
        <w:rPr>
          <w:rStyle w:val="mord"/>
          <w:rFonts w:ascii="Cambria Math" w:hAnsi="Cambria Math" w:cs="Cambria Math"/>
        </w:rPr>
        <w:t>𝜋</w:t>
      </w:r>
      <w:r>
        <w:rPr>
          <w:rStyle w:val="vlist-s"/>
        </w:rPr>
        <w:t>​</w:t>
      </w:r>
      <w:r>
        <w:rPr>
          <w:rStyle w:val="delimsizing"/>
        </w:rPr>
        <w:t>(</w:t>
      </w:r>
      <w:r>
        <w:rPr>
          <w:rStyle w:val="mord"/>
        </w:rPr>
        <w:t>m</w:t>
      </w:r>
      <w:r>
        <w:rPr>
          <w:rStyle w:val="mbin"/>
        </w:rPr>
        <w:t>+</w:t>
      </w:r>
      <w:r>
        <w:rPr>
          <w:rStyle w:val="mord"/>
        </w:rPr>
        <w:t>21</w:t>
      </w:r>
      <w:r>
        <w:rPr>
          <w:rStyle w:val="vlist-s"/>
        </w:rPr>
        <w:t>​</w:t>
      </w:r>
      <w:r>
        <w:rPr>
          <w:rStyle w:val="delimsizing"/>
        </w:rPr>
        <w:t>)</w:t>
      </w:r>
      <w:r>
        <w:rPr>
          <w:rStyle w:val="mord"/>
        </w:rPr>
        <w:t>k′</w:t>
      </w:r>
      <w:r>
        <w:rPr>
          <w:rStyle w:val="delimsizing"/>
        </w:rPr>
        <w:t>)</w:t>
      </w:r>
      <w:r>
        <w:rPr>
          <w:rStyle w:val="mpunct"/>
        </w:rPr>
        <w:t>,</w:t>
      </w:r>
      <w:r>
        <w:rPr>
          <w:rStyle w:val="mord"/>
        </w:rPr>
        <w:t>0</w:t>
      </w:r>
      <w:r>
        <w:rPr>
          <w:rStyle w:val="mrel"/>
        </w:rPr>
        <w:t>≤</w:t>
      </w:r>
      <w:r>
        <w:rPr>
          <w:rStyle w:val="mord"/>
        </w:rPr>
        <w:t>k′</w:t>
      </w:r>
      <w:r>
        <w:rPr>
          <w:rStyle w:val="mrel"/>
        </w:rPr>
        <w:t>≤</w:t>
      </w:r>
      <w:r>
        <w:rPr>
          <w:rStyle w:val="mord"/>
        </w:rPr>
        <w:t>M</w:t>
      </w:r>
      <w:r>
        <w:rPr>
          <w:rStyle w:val="mbin"/>
        </w:rPr>
        <w:t>−</w:t>
      </w:r>
      <w:r>
        <w:rPr>
          <w:rStyle w:val="mord"/>
        </w:rPr>
        <w:t>1</w:t>
      </w:r>
    </w:p>
    <w:p w14:paraId="74406B5F" w14:textId="77777777" w:rsidR="0024264F" w:rsidRDefault="0024264F" w:rsidP="0024264F">
      <w:pPr>
        <w:pStyle w:val="Web"/>
      </w:pPr>
      <w:r>
        <w:t>ここで、</w:t>
      </w:r>
      <w:r>
        <w:rPr>
          <w:rFonts w:ascii="Cambria Math" w:hAnsi="Cambria Math" w:cs="Cambria Math"/>
        </w:rPr>
        <w:t>𝑀</w:t>
      </w:r>
      <w:r>
        <w:t>はMFCCの数です。</w:t>
      </w:r>
    </w:p>
    <w:p w14:paraId="40EBEBA8" w14:textId="15766479" w:rsidR="001F1B2B" w:rsidRDefault="001120E4" w:rsidP="00491AC6">
      <w:pPr>
        <w:widowControl/>
        <w:spacing w:before="100" w:beforeAutospacing="1" w:after="100" w:afterAutospacing="1" w:line="240" w:lineRule="auto"/>
      </w:pPr>
      <w:r>
        <w:t>MFCCの数は通常12から20の間です。つまり、PCG信号の24msフレームについて、20のMFCCが計算されますが、この研究では最初の13の係数のみが使用されました。図1に示すように、S1サウンドに属するすべてのフレームのMFCCを平均することで、13の特徴が得られます。同様に、他のセグメント、すなわち収縮期、S2、および拡張期についても、13の特徴が計算されます。したがって、与えられたPCGビートについては、52のMFCC特徴が得られます。</w:t>
      </w:r>
    </w:p>
    <w:p w14:paraId="3BE850AB" w14:textId="4E73E901" w:rsidR="007854AB" w:rsidRDefault="007854AB" w:rsidP="00491AC6">
      <w:pPr>
        <w:widowControl/>
        <w:spacing w:before="100" w:beforeAutospacing="1" w:after="100" w:afterAutospacing="1" w:line="240" w:lineRule="auto"/>
      </w:pPr>
      <w:r>
        <w:rPr>
          <w:rFonts w:hint="eastAsia"/>
        </w:rPr>
        <w:t>図1</w:t>
      </w:r>
    </w:p>
    <w:p w14:paraId="50D8BEA7" w14:textId="77777777" w:rsidR="00264468" w:rsidRDefault="00264468" w:rsidP="00737FB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592568EC" w14:textId="001AE67D" w:rsidR="00264468" w:rsidRDefault="00264468" w:rsidP="00737FB9">
      <w:pPr>
        <w:widowControl/>
        <w:spacing w:before="100" w:beforeAutospacing="1" w:after="100" w:afterAutospacing="1" w:line="240" w:lineRule="auto"/>
        <w:rPr>
          <w:rFonts w:ascii="ＭＳ Ｐゴシック" w:eastAsia="ＭＳ Ｐゴシック" w:hAnsi="ＭＳ Ｐゴシック" w:cs="ＭＳ Ｐゴシック" w:hint="eastAsia"/>
          <w:kern w:val="0"/>
          <w:sz w:val="24"/>
          <w14:ligatures w14:val="none"/>
        </w:rPr>
      </w:pPr>
      <w:r>
        <w:rPr>
          <w:rFonts w:ascii="ＭＳ Ｐゴシック" w:eastAsia="ＭＳ Ｐゴシック" w:hAnsi="ＭＳ Ｐゴシック" w:cs="ＭＳ Ｐゴシック" w:hint="eastAsia"/>
          <w:kern w:val="0"/>
          <w:sz w:val="24"/>
          <w14:ligatures w14:val="none"/>
        </w:rPr>
        <w:t>2.2.4. 分類</w:t>
      </w:r>
    </w:p>
    <w:p w14:paraId="2E5F28CB" w14:textId="2616F0ED" w:rsidR="00737FB9" w:rsidRPr="00737FB9" w:rsidRDefault="00737FB9" w:rsidP="00737FB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737FB9">
        <w:rPr>
          <w:rFonts w:ascii="ＭＳ Ｐゴシック" w:eastAsia="ＭＳ Ｐゴシック" w:hAnsi="ＭＳ Ｐゴシック" w:cs="ＭＳ Ｐゴシック"/>
          <w:kern w:val="0"/>
          <w:sz w:val="24"/>
          <w14:ligatures w14:val="none"/>
        </w:rPr>
        <w:t>この研究では、通常の（健康な）PCGと異常な（病的な）PCGを区別するために、2つの分類戦略が使用されました。これらの戦略は、単一分類器戦略とアンサンブル分類器戦略と呼ばれます。単一分類器戦略（図2.A）では、最初の9つのPCGビートのMFCCがまず平均され、その後分類器に入力されます。1つのビートあたり52の特徴があるため、平均化により52の平均MFCCが得られます（図2.A）。この平均MFCCを基に、分類器はPCG信号が正常か異常かを判断します。この戦略では、3</w:t>
      </w:r>
      <w:r w:rsidRPr="00737FB9">
        <w:rPr>
          <w:rFonts w:ascii="ＭＳ Ｐゴシック" w:eastAsia="ＭＳ Ｐゴシック" w:hAnsi="ＭＳ Ｐゴシック" w:cs="ＭＳ Ｐゴシック"/>
          <w:kern w:val="0"/>
          <w:sz w:val="24"/>
          <w14:ligatures w14:val="none"/>
        </w:rPr>
        <w:lastRenderedPageBreak/>
        <w:t>つの分類器タイプが使用されました：k最近傍法（</w:t>
      </w:r>
      <w:proofErr w:type="spellStart"/>
      <w:r w:rsidRPr="00737FB9">
        <w:rPr>
          <w:rFonts w:ascii="ＭＳ Ｐゴシック" w:eastAsia="ＭＳ Ｐゴシック" w:hAnsi="ＭＳ Ｐゴシック" w:cs="ＭＳ Ｐゴシック"/>
          <w:kern w:val="0"/>
          <w:sz w:val="24"/>
          <w14:ligatures w14:val="none"/>
        </w:rPr>
        <w:t>kNN</w:t>
      </w:r>
      <w:proofErr w:type="spellEnd"/>
      <w:r w:rsidRPr="00737FB9">
        <w:rPr>
          <w:rFonts w:ascii="ＭＳ Ｐゴシック" w:eastAsia="ＭＳ Ｐゴシック" w:hAnsi="ＭＳ Ｐゴシック" w:cs="ＭＳ Ｐゴシック"/>
          <w:kern w:val="0"/>
          <w:sz w:val="24"/>
          <w14:ligatures w14:val="none"/>
        </w:rPr>
        <w:t>）、サポートベクトルマシン（SVM）、決定木（DT）。</w:t>
      </w:r>
    </w:p>
    <w:p w14:paraId="13ACC532" w14:textId="17C0C4AB" w:rsidR="00737FB9" w:rsidRDefault="00737FB9" w:rsidP="00737FB9">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hint="eastAsia"/>
          <w:kern w:val="0"/>
          <w:sz w:val="24"/>
          <w14:ligatures w14:val="none"/>
        </w:rPr>
        <w:t>図2</w:t>
      </w:r>
    </w:p>
    <w:p w14:paraId="5C47608E" w14:textId="77777777" w:rsidR="00737FB9" w:rsidRDefault="00737FB9" w:rsidP="00737FB9">
      <w:pPr>
        <w:widowControl/>
        <w:spacing w:after="0" w:line="240" w:lineRule="auto"/>
        <w:rPr>
          <w:rFonts w:ascii="ＭＳ Ｐゴシック" w:eastAsia="ＭＳ Ｐゴシック" w:hAnsi="ＭＳ Ｐゴシック" w:cs="ＭＳ Ｐゴシック"/>
          <w:kern w:val="0"/>
          <w:sz w:val="24"/>
          <w14:ligatures w14:val="none"/>
        </w:rPr>
      </w:pPr>
    </w:p>
    <w:p w14:paraId="488E1B19" w14:textId="77777777" w:rsidR="004B57C6" w:rsidRDefault="004B57C6" w:rsidP="004B57C6">
      <w:pPr>
        <w:pStyle w:val="Web"/>
      </w:pPr>
      <w:r>
        <w:t>アンサンブル分類器戦略（図2.B）では、与えられたビートの52のMFCCが異なる分類器に入力されます。PCG信号の最初の9つのビートのみが使用されるため、9つの異なる分類器があります。各分類器は、その入力ビートが正常か異常かを判断します。最終的に、9つの分類器全体でより多くの正常なビートが予測された場合、PCGは正常と判断されます。そうでなければ異常です（図2.B）。すべての9つの分類器は同じタイプです（すなわち、</w:t>
      </w:r>
      <w:proofErr w:type="spellStart"/>
      <w:r>
        <w:t>kNN</w:t>
      </w:r>
      <w:proofErr w:type="spellEnd"/>
      <w:r>
        <w:t>、SVM、またはDT）。</w:t>
      </w:r>
      <w:proofErr w:type="spellStart"/>
      <w:r>
        <w:t>kNN</w:t>
      </w:r>
      <w:proofErr w:type="spellEnd"/>
      <w:r>
        <w:t>では、kは1、3、5、7と考えられました。また、サポートベクトルマシンでは、線形、ガウス、および多項式カーネルが考慮されました。2.1節で説明したように、提案された方法を評価するために、少なくとも9つのビートを持つ218の異常なPCG信号と1919の正常なPCG信号を選択しました。最初の9つのビートはMFCCの推定に使用されました。データセットをバランスさせるために、218の正常なPCGがランダムに選択され、218の異常なPCGと一緒に分類器のトレーニングおよびテストに使用されました。</w:t>
      </w:r>
    </w:p>
    <w:p w14:paraId="0EB27A22" w14:textId="77777777" w:rsidR="004B57C6" w:rsidRDefault="004B57C6" w:rsidP="004B57C6">
      <w:pPr>
        <w:pStyle w:val="Web"/>
      </w:pPr>
      <w:r>
        <w:t>両方の分類戦略を評価するために、10倍交差検証が使用されました。各フォールドでは、正確度（</w:t>
      </w:r>
      <w:r>
        <w:rPr>
          <w:rFonts w:ascii="Cambria Math" w:hAnsi="Cambria Math" w:cs="Cambria Math"/>
        </w:rPr>
        <w:t>𝐴𝑐𝑐</w:t>
      </w:r>
      <w:r>
        <w:t>）、感度（</w:t>
      </w:r>
      <w:r>
        <w:rPr>
          <w:rFonts w:ascii="Cambria Math" w:hAnsi="Cambria Math" w:cs="Cambria Math"/>
        </w:rPr>
        <w:t>𝑆𝑒</w:t>
      </w:r>
      <w:r>
        <w:t>）、特異度（</w:t>
      </w:r>
      <w:r>
        <w:rPr>
          <w:rFonts w:ascii="Cambria Math" w:hAnsi="Cambria Math" w:cs="Cambria Math"/>
        </w:rPr>
        <w:t>𝑆𝑝</w:t>
      </w:r>
      <w:r>
        <w:t>）、および修正された正確度（</w:t>
      </w:r>
      <w:r>
        <w:rPr>
          <w:rFonts w:ascii="Cambria Math" w:hAnsi="Cambria Math" w:cs="Cambria Math"/>
        </w:rPr>
        <w:t>𝑀𝐴𝑐𝑐</w:t>
      </w:r>
      <w:r>
        <w:t>）の4つのパラメータを次のように計算します</w:t>
      </w:r>
    </w:p>
    <w:p w14:paraId="70041AFA" w14:textId="77777777" w:rsidR="004B57C6" w:rsidRDefault="004B57C6" w:rsidP="004B57C6">
      <w:pPr>
        <w:pStyle w:val="Web"/>
      </w:pPr>
      <w:r>
        <w:rPr>
          <w:rStyle w:val="katex-mathml"/>
          <w:rFonts w:ascii="Cambria Math" w:hAnsi="Cambria Math" w:cs="Cambria Math"/>
        </w:rPr>
        <w:t>𝐴𝑐𝑐</w:t>
      </w:r>
      <w:r>
        <w:rPr>
          <w:rStyle w:val="katex-mathml"/>
        </w:rPr>
        <w:t>=</w:t>
      </w:r>
      <w:r>
        <w:rPr>
          <w:rStyle w:val="katex-mathml"/>
          <w:rFonts w:ascii="Cambria Math" w:hAnsi="Cambria Math" w:cs="Cambria Math"/>
        </w:rPr>
        <w:t>𝑇𝑃</w:t>
      </w:r>
      <w:r>
        <w:rPr>
          <w:rStyle w:val="katex-mathml"/>
        </w:rPr>
        <w:t>+</w:t>
      </w:r>
      <w:r>
        <w:rPr>
          <w:rStyle w:val="katex-mathml"/>
          <w:rFonts w:ascii="Cambria Math" w:hAnsi="Cambria Math" w:cs="Cambria Math"/>
        </w:rPr>
        <w:t>𝑇𝑁𝑇𝑃</w:t>
      </w:r>
      <w:r>
        <w:rPr>
          <w:rStyle w:val="katex-mathml"/>
        </w:rPr>
        <w:t>+</w:t>
      </w:r>
      <w:r>
        <w:rPr>
          <w:rStyle w:val="katex-mathml"/>
          <w:rFonts w:ascii="Cambria Math" w:hAnsi="Cambria Math" w:cs="Cambria Math"/>
        </w:rPr>
        <w:t>𝐹𝑁</w:t>
      </w:r>
      <w:r>
        <w:rPr>
          <w:rStyle w:val="katex-mathml"/>
        </w:rPr>
        <w:t>+</w:t>
      </w:r>
      <w:r>
        <w:rPr>
          <w:rStyle w:val="katex-mathml"/>
          <w:rFonts w:ascii="Cambria Math" w:hAnsi="Cambria Math" w:cs="Cambria Math"/>
        </w:rPr>
        <w:t>𝐹𝑃</w:t>
      </w:r>
      <w:r>
        <w:rPr>
          <w:rStyle w:val="katex-mathml"/>
        </w:rPr>
        <w:t>+</w:t>
      </w:r>
      <w:r>
        <w:rPr>
          <w:rStyle w:val="katex-mathml"/>
          <w:rFonts w:ascii="Cambria Math" w:hAnsi="Cambria Math" w:cs="Cambria Math"/>
        </w:rPr>
        <w:t>𝑇𝑁𝐴𝑐𝑐</w:t>
      </w:r>
      <w:r>
        <w:rPr>
          <w:rStyle w:val="katex-mathml"/>
        </w:rPr>
        <w:t xml:space="preserve"> = \frac{</w:t>
      </w:r>
      <w:r>
        <w:rPr>
          <w:rStyle w:val="katex-mathml"/>
          <w:rFonts w:ascii="Cambria Math" w:hAnsi="Cambria Math" w:cs="Cambria Math"/>
        </w:rPr>
        <w:t>𝑇𝑃</w:t>
      </w:r>
      <w:r>
        <w:rPr>
          <w:rStyle w:val="katex-mathml"/>
        </w:rPr>
        <w:t xml:space="preserve"> + </w:t>
      </w:r>
      <w:r>
        <w:rPr>
          <w:rStyle w:val="katex-mathml"/>
          <w:rFonts w:ascii="Cambria Math" w:hAnsi="Cambria Math" w:cs="Cambria Math"/>
        </w:rPr>
        <w:t>𝑇𝑁</w:t>
      </w:r>
      <w:r>
        <w:rPr>
          <w:rStyle w:val="katex-mathml"/>
        </w:rPr>
        <w:t>}{</w:t>
      </w:r>
      <w:r>
        <w:rPr>
          <w:rStyle w:val="katex-mathml"/>
          <w:rFonts w:ascii="Cambria Math" w:hAnsi="Cambria Math" w:cs="Cambria Math"/>
        </w:rPr>
        <w:t>𝑇𝑃</w:t>
      </w:r>
      <w:r>
        <w:rPr>
          <w:rStyle w:val="katex-mathml"/>
        </w:rPr>
        <w:t xml:space="preserve"> + </w:t>
      </w:r>
      <w:r>
        <w:rPr>
          <w:rStyle w:val="katex-mathml"/>
          <w:rFonts w:ascii="Cambria Math" w:hAnsi="Cambria Math" w:cs="Cambria Math"/>
        </w:rPr>
        <w:t>𝐹𝑁</w:t>
      </w:r>
      <w:r>
        <w:rPr>
          <w:rStyle w:val="katex-mathml"/>
        </w:rPr>
        <w:t xml:space="preserve"> + </w:t>
      </w:r>
      <w:r>
        <w:rPr>
          <w:rStyle w:val="katex-mathml"/>
          <w:rFonts w:ascii="Cambria Math" w:hAnsi="Cambria Math" w:cs="Cambria Math"/>
        </w:rPr>
        <w:t>𝐹𝑃</w:t>
      </w:r>
      <w:r>
        <w:rPr>
          <w:rStyle w:val="katex-mathml"/>
        </w:rPr>
        <w:t xml:space="preserve"> + </w:t>
      </w:r>
      <w:r>
        <w:rPr>
          <w:rStyle w:val="katex-mathml"/>
          <w:rFonts w:ascii="Cambria Math" w:hAnsi="Cambria Math" w:cs="Cambria Math"/>
        </w:rPr>
        <w:t>𝑇𝑁</w:t>
      </w:r>
      <w:r>
        <w:rPr>
          <w:rStyle w:val="katex-mathml"/>
        </w:rPr>
        <w:t>}</w:t>
      </w:r>
      <w:r>
        <w:rPr>
          <w:rStyle w:val="mord"/>
        </w:rPr>
        <w:t>Acc</w:t>
      </w:r>
      <w:r>
        <w:rPr>
          <w:rStyle w:val="mrel"/>
        </w:rPr>
        <w:t>=</w:t>
      </w:r>
      <w:r>
        <w:rPr>
          <w:rStyle w:val="mord"/>
        </w:rPr>
        <w:t>TP</w:t>
      </w:r>
      <w:r>
        <w:rPr>
          <w:rStyle w:val="mbin"/>
        </w:rPr>
        <w:t>+</w:t>
      </w:r>
      <w:r>
        <w:rPr>
          <w:rStyle w:val="mord"/>
        </w:rPr>
        <w:t>FN</w:t>
      </w:r>
      <w:r>
        <w:rPr>
          <w:rStyle w:val="mbin"/>
        </w:rPr>
        <w:t>+</w:t>
      </w:r>
      <w:r>
        <w:rPr>
          <w:rStyle w:val="mord"/>
        </w:rPr>
        <w:t>FP</w:t>
      </w:r>
      <w:r>
        <w:rPr>
          <w:rStyle w:val="mbin"/>
        </w:rPr>
        <w:t>+</w:t>
      </w:r>
      <w:r>
        <w:rPr>
          <w:rStyle w:val="mord"/>
        </w:rPr>
        <w:t>TNTP</w:t>
      </w:r>
      <w:r>
        <w:rPr>
          <w:rStyle w:val="mbin"/>
        </w:rPr>
        <w:t>+</w:t>
      </w:r>
      <w:r>
        <w:rPr>
          <w:rStyle w:val="mord"/>
        </w:rPr>
        <w:t>TN</w:t>
      </w:r>
      <w:r>
        <w:rPr>
          <w:rStyle w:val="vlist-s"/>
        </w:rPr>
        <w:t>​</w:t>
      </w:r>
    </w:p>
    <w:p w14:paraId="688BE49A" w14:textId="77777777" w:rsidR="004B57C6" w:rsidRDefault="004B57C6" w:rsidP="004B57C6">
      <w:pPr>
        <w:pStyle w:val="Web"/>
      </w:pPr>
      <w:r>
        <w:rPr>
          <w:rStyle w:val="katex-mathml"/>
          <w:rFonts w:ascii="Cambria Math" w:hAnsi="Cambria Math" w:cs="Cambria Math"/>
        </w:rPr>
        <w:t>𝑆𝑒</w:t>
      </w:r>
      <w:r>
        <w:rPr>
          <w:rStyle w:val="katex-mathml"/>
        </w:rPr>
        <w:t>=</w:t>
      </w:r>
      <w:r>
        <w:rPr>
          <w:rStyle w:val="katex-mathml"/>
          <w:rFonts w:ascii="Cambria Math" w:hAnsi="Cambria Math" w:cs="Cambria Math"/>
        </w:rPr>
        <w:t>𝑇𝑃𝑇𝑃</w:t>
      </w:r>
      <w:r>
        <w:rPr>
          <w:rStyle w:val="katex-mathml"/>
        </w:rPr>
        <w:t>+</w:t>
      </w:r>
      <w:r>
        <w:rPr>
          <w:rStyle w:val="katex-mathml"/>
          <w:rFonts w:ascii="Cambria Math" w:hAnsi="Cambria Math" w:cs="Cambria Math"/>
        </w:rPr>
        <w:t>𝐹𝑁𝑆𝑒</w:t>
      </w:r>
      <w:r>
        <w:rPr>
          <w:rStyle w:val="katex-mathml"/>
        </w:rPr>
        <w:t xml:space="preserve"> = \frac{</w:t>
      </w:r>
      <w:r>
        <w:rPr>
          <w:rStyle w:val="katex-mathml"/>
          <w:rFonts w:ascii="Cambria Math" w:hAnsi="Cambria Math" w:cs="Cambria Math"/>
        </w:rPr>
        <w:t>𝑇𝑃</w:t>
      </w:r>
      <w:r>
        <w:rPr>
          <w:rStyle w:val="katex-mathml"/>
        </w:rPr>
        <w:t>}{</w:t>
      </w:r>
      <w:r>
        <w:rPr>
          <w:rStyle w:val="katex-mathml"/>
          <w:rFonts w:ascii="Cambria Math" w:hAnsi="Cambria Math" w:cs="Cambria Math"/>
        </w:rPr>
        <w:t>𝑇𝑃</w:t>
      </w:r>
      <w:r>
        <w:rPr>
          <w:rStyle w:val="katex-mathml"/>
        </w:rPr>
        <w:t xml:space="preserve"> + </w:t>
      </w:r>
      <w:r>
        <w:rPr>
          <w:rStyle w:val="katex-mathml"/>
          <w:rFonts w:ascii="Cambria Math" w:hAnsi="Cambria Math" w:cs="Cambria Math"/>
        </w:rPr>
        <w:t>𝐹𝑁</w:t>
      </w:r>
      <w:r>
        <w:rPr>
          <w:rStyle w:val="katex-mathml"/>
        </w:rPr>
        <w:t>}</w:t>
      </w:r>
      <w:r>
        <w:rPr>
          <w:rStyle w:val="mord"/>
        </w:rPr>
        <w:t>Se</w:t>
      </w:r>
      <w:r>
        <w:rPr>
          <w:rStyle w:val="mrel"/>
        </w:rPr>
        <w:t>=</w:t>
      </w:r>
      <w:r>
        <w:rPr>
          <w:rStyle w:val="mord"/>
        </w:rPr>
        <w:t>TP</w:t>
      </w:r>
      <w:r>
        <w:rPr>
          <w:rStyle w:val="mbin"/>
        </w:rPr>
        <w:t>+</w:t>
      </w:r>
      <w:r>
        <w:rPr>
          <w:rStyle w:val="mord"/>
        </w:rPr>
        <w:t>FNTP</w:t>
      </w:r>
      <w:r>
        <w:rPr>
          <w:rStyle w:val="vlist-s"/>
        </w:rPr>
        <w:t>​</w:t>
      </w:r>
    </w:p>
    <w:p w14:paraId="59CDC47B" w14:textId="77777777" w:rsidR="004B57C6" w:rsidRDefault="004B57C6" w:rsidP="004B57C6">
      <w:pPr>
        <w:pStyle w:val="Web"/>
      </w:pPr>
      <w:r>
        <w:rPr>
          <w:rStyle w:val="katex-mathml"/>
          <w:rFonts w:ascii="Cambria Math" w:hAnsi="Cambria Math" w:cs="Cambria Math"/>
        </w:rPr>
        <w:t>𝑆𝑝</w:t>
      </w:r>
      <w:r>
        <w:rPr>
          <w:rStyle w:val="katex-mathml"/>
        </w:rPr>
        <w:t>=</w:t>
      </w:r>
      <w:r>
        <w:rPr>
          <w:rStyle w:val="katex-mathml"/>
          <w:rFonts w:ascii="Cambria Math" w:hAnsi="Cambria Math" w:cs="Cambria Math"/>
        </w:rPr>
        <w:t>𝑇𝑁𝐹𝑃</w:t>
      </w:r>
      <w:r>
        <w:rPr>
          <w:rStyle w:val="katex-mathml"/>
        </w:rPr>
        <w:t>+</w:t>
      </w:r>
      <w:r>
        <w:rPr>
          <w:rStyle w:val="katex-mathml"/>
          <w:rFonts w:ascii="Cambria Math" w:hAnsi="Cambria Math" w:cs="Cambria Math"/>
        </w:rPr>
        <w:t>𝑇𝑁𝑆𝑝</w:t>
      </w:r>
      <w:r>
        <w:rPr>
          <w:rStyle w:val="katex-mathml"/>
        </w:rPr>
        <w:t xml:space="preserve"> = \frac{</w:t>
      </w:r>
      <w:r>
        <w:rPr>
          <w:rStyle w:val="katex-mathml"/>
          <w:rFonts w:ascii="Cambria Math" w:hAnsi="Cambria Math" w:cs="Cambria Math"/>
        </w:rPr>
        <w:t>𝑇𝑁</w:t>
      </w:r>
      <w:r>
        <w:rPr>
          <w:rStyle w:val="katex-mathml"/>
        </w:rPr>
        <w:t>}{</w:t>
      </w:r>
      <w:r>
        <w:rPr>
          <w:rStyle w:val="katex-mathml"/>
          <w:rFonts w:ascii="Cambria Math" w:hAnsi="Cambria Math" w:cs="Cambria Math"/>
        </w:rPr>
        <w:t>𝐹𝑃</w:t>
      </w:r>
      <w:r>
        <w:rPr>
          <w:rStyle w:val="katex-mathml"/>
        </w:rPr>
        <w:t xml:space="preserve"> + </w:t>
      </w:r>
      <w:r>
        <w:rPr>
          <w:rStyle w:val="katex-mathml"/>
          <w:rFonts w:ascii="Cambria Math" w:hAnsi="Cambria Math" w:cs="Cambria Math"/>
        </w:rPr>
        <w:t>𝑇𝑁</w:t>
      </w:r>
      <w:r>
        <w:rPr>
          <w:rStyle w:val="katex-mathml"/>
        </w:rPr>
        <w:t>}</w:t>
      </w:r>
      <w:proofErr w:type="spellStart"/>
      <w:r>
        <w:rPr>
          <w:rStyle w:val="mord"/>
        </w:rPr>
        <w:t>Sp</w:t>
      </w:r>
      <w:proofErr w:type="spellEnd"/>
      <w:r>
        <w:rPr>
          <w:rStyle w:val="mrel"/>
        </w:rPr>
        <w:t>=</w:t>
      </w:r>
      <w:r>
        <w:rPr>
          <w:rStyle w:val="mord"/>
        </w:rPr>
        <w:t>FP</w:t>
      </w:r>
      <w:r>
        <w:rPr>
          <w:rStyle w:val="mbin"/>
        </w:rPr>
        <w:t>+</w:t>
      </w:r>
      <w:r>
        <w:rPr>
          <w:rStyle w:val="mord"/>
        </w:rPr>
        <w:t>TNTN</w:t>
      </w:r>
      <w:r>
        <w:rPr>
          <w:rStyle w:val="vlist-s"/>
        </w:rPr>
        <w:t>​</w:t>
      </w:r>
    </w:p>
    <w:p w14:paraId="45F78909" w14:textId="77777777" w:rsidR="004B57C6" w:rsidRDefault="004B57C6" w:rsidP="004B57C6">
      <w:pPr>
        <w:pStyle w:val="Web"/>
      </w:pPr>
      <w:r>
        <w:rPr>
          <w:rStyle w:val="katex-mathml"/>
          <w:rFonts w:ascii="Cambria Math" w:hAnsi="Cambria Math" w:cs="Cambria Math"/>
        </w:rPr>
        <w:t>𝑀𝐴𝑐𝑐</w:t>
      </w:r>
      <w:r>
        <w:rPr>
          <w:rStyle w:val="katex-mathml"/>
        </w:rPr>
        <w:t>=</w:t>
      </w:r>
      <w:r>
        <w:rPr>
          <w:rStyle w:val="katex-mathml"/>
          <w:rFonts w:ascii="Cambria Math" w:hAnsi="Cambria Math" w:cs="Cambria Math"/>
        </w:rPr>
        <w:t>𝑆𝑒</w:t>
      </w:r>
      <w:r>
        <w:rPr>
          <w:rStyle w:val="katex-mathml"/>
        </w:rPr>
        <w:t>+</w:t>
      </w:r>
      <w:r>
        <w:rPr>
          <w:rStyle w:val="katex-mathml"/>
          <w:rFonts w:ascii="Cambria Math" w:hAnsi="Cambria Math" w:cs="Cambria Math"/>
        </w:rPr>
        <w:t>𝑆𝑝</w:t>
      </w:r>
      <w:r>
        <w:rPr>
          <w:rStyle w:val="katex-mathml"/>
        </w:rPr>
        <w:t>2</w:t>
      </w:r>
      <w:r>
        <w:rPr>
          <w:rStyle w:val="katex-mathml"/>
          <w:rFonts w:ascii="Cambria Math" w:hAnsi="Cambria Math" w:cs="Cambria Math"/>
        </w:rPr>
        <w:t>𝑀𝐴𝑐𝑐</w:t>
      </w:r>
      <w:r>
        <w:rPr>
          <w:rStyle w:val="katex-mathml"/>
        </w:rPr>
        <w:t xml:space="preserve"> = \frac{</w:t>
      </w:r>
      <w:r>
        <w:rPr>
          <w:rStyle w:val="katex-mathml"/>
          <w:rFonts w:ascii="Cambria Math" w:hAnsi="Cambria Math" w:cs="Cambria Math"/>
        </w:rPr>
        <w:t>𝑆𝑒</w:t>
      </w:r>
      <w:r>
        <w:rPr>
          <w:rStyle w:val="katex-mathml"/>
        </w:rPr>
        <w:t xml:space="preserve"> + </w:t>
      </w:r>
      <w:r>
        <w:rPr>
          <w:rStyle w:val="katex-mathml"/>
          <w:rFonts w:ascii="Cambria Math" w:hAnsi="Cambria Math" w:cs="Cambria Math"/>
        </w:rPr>
        <w:t>𝑆𝑝</w:t>
      </w:r>
      <w:r>
        <w:rPr>
          <w:rStyle w:val="katex-mathml"/>
        </w:rPr>
        <w:t>}{2}</w:t>
      </w:r>
      <w:proofErr w:type="spellStart"/>
      <w:r>
        <w:rPr>
          <w:rStyle w:val="mord"/>
        </w:rPr>
        <w:t>MAcc</w:t>
      </w:r>
      <w:proofErr w:type="spellEnd"/>
      <w:r>
        <w:rPr>
          <w:rStyle w:val="mrel"/>
        </w:rPr>
        <w:t>=</w:t>
      </w:r>
      <w:r>
        <w:rPr>
          <w:rStyle w:val="mord"/>
        </w:rPr>
        <w:t>2Se</w:t>
      </w:r>
      <w:r>
        <w:rPr>
          <w:rStyle w:val="mbin"/>
        </w:rPr>
        <w:t>+</w:t>
      </w:r>
      <w:r>
        <w:rPr>
          <w:rStyle w:val="mord"/>
        </w:rPr>
        <w:t>Sp</w:t>
      </w:r>
      <w:r>
        <w:rPr>
          <w:rStyle w:val="vlist-s"/>
        </w:rPr>
        <w:t>​</w:t>
      </w:r>
    </w:p>
    <w:p w14:paraId="4450FCC1" w14:textId="77777777" w:rsidR="004B57C6" w:rsidRDefault="004B57C6" w:rsidP="004B57C6">
      <w:pPr>
        <w:pStyle w:val="Web"/>
      </w:pPr>
      <w:r>
        <w:t>ここで、</w:t>
      </w:r>
      <w:r>
        <w:rPr>
          <w:rStyle w:val="katex-mathml"/>
          <w:rFonts w:ascii="Cambria Math" w:hAnsi="Cambria Math" w:cs="Cambria Math"/>
        </w:rPr>
        <w:t>𝑇𝑃𝑇𝑃</w:t>
      </w:r>
      <w:r>
        <w:rPr>
          <w:rStyle w:val="mord"/>
        </w:rPr>
        <w:t>TP</w:t>
      </w:r>
      <w:r>
        <w:t>は正しく疾患と分類された患者の数、</w:t>
      </w:r>
      <w:r>
        <w:rPr>
          <w:rStyle w:val="katex-mathml"/>
          <w:rFonts w:ascii="Cambria Math" w:hAnsi="Cambria Math" w:cs="Cambria Math"/>
        </w:rPr>
        <w:t>𝐹𝑁𝐹𝑁</w:t>
      </w:r>
      <w:r>
        <w:rPr>
          <w:rStyle w:val="mord"/>
        </w:rPr>
        <w:t>FN</w:t>
      </w:r>
      <w:r>
        <w:t>は間違って健康と分類された患者の数、</w:t>
      </w:r>
      <w:r>
        <w:rPr>
          <w:rStyle w:val="katex-mathml"/>
          <w:rFonts w:ascii="Cambria Math" w:hAnsi="Cambria Math" w:cs="Cambria Math"/>
        </w:rPr>
        <w:t>𝐹𝑃𝐹𝑃</w:t>
      </w:r>
      <w:r>
        <w:rPr>
          <w:rStyle w:val="mord"/>
        </w:rPr>
        <w:t>FP</w:t>
      </w:r>
      <w:r>
        <w:t>は誤って疾患と分類された健康な対象者の数、</w:t>
      </w:r>
      <w:r>
        <w:rPr>
          <w:rStyle w:val="katex-mathml"/>
          <w:rFonts w:ascii="Cambria Math" w:hAnsi="Cambria Math" w:cs="Cambria Math"/>
        </w:rPr>
        <w:t>𝑇𝑁𝑇𝑁</w:t>
      </w:r>
      <w:r>
        <w:rPr>
          <w:rStyle w:val="mord"/>
        </w:rPr>
        <w:t>TN</w:t>
      </w:r>
      <w:r>
        <w:t>は正しく健康と分類された健康な対象者の数です。10フォールド全体での平均パラメータが最終的に計算されます。50回の反復で10倍交差検証が実行されました。各回、218の正常なシグナルがランダムに選択され、218の異常なPCGと結合されました。50回の実行全体での平均結果がセクション3で報告されています。</w:t>
      </w:r>
    </w:p>
    <w:p w14:paraId="5DB4E383" w14:textId="77777777" w:rsidR="00575FE0" w:rsidRPr="00575FE0" w:rsidRDefault="00575FE0" w:rsidP="00575FE0">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75FE0">
        <w:rPr>
          <w:rFonts w:ascii="ＭＳ Ｐゴシック" w:eastAsia="ＭＳ Ｐゴシック" w:hAnsi="ＭＳ Ｐゴシック" w:cs="ＭＳ Ｐゴシック"/>
          <w:kern w:val="0"/>
          <w:sz w:val="24"/>
          <w14:ligatures w14:val="none"/>
        </w:rPr>
        <w:lastRenderedPageBreak/>
        <w:t>ここで、</w:t>
      </w:r>
      <w:r w:rsidRPr="00575FE0">
        <w:rPr>
          <w:rFonts w:ascii="Cambria Math" w:eastAsia="ＭＳ Ｐゴシック" w:hAnsi="Cambria Math" w:cs="Cambria Math"/>
          <w:kern w:val="0"/>
          <w:sz w:val="24"/>
          <w14:ligatures w14:val="none"/>
        </w:rPr>
        <w:t>𝑇𝑃</w:t>
      </w:r>
      <w:r w:rsidRPr="00575FE0">
        <w:rPr>
          <w:rFonts w:ascii="ＭＳ Ｐゴシック" w:eastAsia="ＭＳ Ｐゴシック" w:hAnsi="ＭＳ Ｐゴシック" w:cs="ＭＳ Ｐゴシック"/>
          <w:kern w:val="0"/>
          <w:sz w:val="24"/>
          <w14:ligatures w14:val="none"/>
        </w:rPr>
        <w:t>は正しく患者として分類された患者の数、</w:t>
      </w:r>
      <w:r w:rsidRPr="00575FE0">
        <w:rPr>
          <w:rFonts w:ascii="Cambria Math" w:eastAsia="ＭＳ Ｐゴシック" w:hAnsi="Cambria Math" w:cs="Cambria Math"/>
          <w:kern w:val="0"/>
          <w:sz w:val="24"/>
          <w14:ligatures w14:val="none"/>
        </w:rPr>
        <w:t>𝐹𝑁</w:t>
      </w:r>
      <w:r w:rsidRPr="00575FE0">
        <w:rPr>
          <w:rFonts w:ascii="ＭＳ Ｐゴシック" w:eastAsia="ＭＳ Ｐゴシック" w:hAnsi="ＭＳ Ｐゴシック" w:cs="ＭＳ Ｐゴシック"/>
          <w:kern w:val="0"/>
          <w:sz w:val="24"/>
          <w14:ligatures w14:val="none"/>
        </w:rPr>
        <w:t>は誤って健康と分類された患者の数、</w:t>
      </w:r>
      <w:r w:rsidRPr="00575FE0">
        <w:rPr>
          <w:rFonts w:ascii="Cambria Math" w:eastAsia="ＭＳ Ｐゴシック" w:hAnsi="Cambria Math" w:cs="Cambria Math"/>
          <w:kern w:val="0"/>
          <w:sz w:val="24"/>
          <w14:ligatures w14:val="none"/>
        </w:rPr>
        <w:t>𝐹𝑃</w:t>
      </w:r>
      <w:r w:rsidRPr="00575FE0">
        <w:rPr>
          <w:rFonts w:ascii="ＭＳ Ｐゴシック" w:eastAsia="ＭＳ Ｐゴシック" w:hAnsi="ＭＳ Ｐゴシック" w:cs="ＭＳ Ｐゴシック"/>
          <w:kern w:val="0"/>
          <w:sz w:val="24"/>
          <w14:ligatures w14:val="none"/>
        </w:rPr>
        <w:t>は誤って患者と分類された健康な対象者の数、</w:t>
      </w:r>
      <w:r w:rsidRPr="00575FE0">
        <w:rPr>
          <w:rFonts w:ascii="Cambria Math" w:eastAsia="ＭＳ Ｐゴシック" w:hAnsi="Cambria Math" w:cs="Cambria Math"/>
          <w:kern w:val="0"/>
          <w:sz w:val="24"/>
          <w14:ligatures w14:val="none"/>
        </w:rPr>
        <w:t>𝑇𝑁</w:t>
      </w:r>
      <w:r w:rsidRPr="00575FE0">
        <w:rPr>
          <w:rFonts w:ascii="ＭＳ Ｐゴシック" w:eastAsia="ＭＳ Ｐゴシック" w:hAnsi="ＭＳ Ｐゴシック" w:cs="ＭＳ Ｐゴシック"/>
          <w:kern w:val="0"/>
          <w:sz w:val="24"/>
          <w14:ligatures w14:val="none"/>
        </w:rPr>
        <w:t>は正しく健康と分類された健康な対象者の数です。最終的に10フォールド全体での平均パラメータが計算されました。10倍交差検証は50回繰り返されました。各回、218の正常なシグナルがランダムに選択され、218の異常なPCGと連結されました。50回の実行全体での平均結果がセクション3で報告されています。</w:t>
      </w:r>
    </w:p>
    <w:p w14:paraId="7F88F666" w14:textId="77777777" w:rsidR="00575FE0" w:rsidRPr="00575FE0" w:rsidRDefault="00575FE0" w:rsidP="00575FE0">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75FE0">
        <w:rPr>
          <w:rFonts w:ascii="ＭＳ Ｐゴシック" w:eastAsia="ＭＳ Ｐゴシック" w:hAnsi="ＭＳ Ｐゴシック" w:cs="ＭＳ Ｐゴシック"/>
          <w:kern w:val="0"/>
          <w:sz w:val="24"/>
          <w14:ligatures w14:val="none"/>
        </w:rPr>
        <w:t>すべての解析、特徴量抽出、および分類戦略は、MATLABプログラミング言語を使用して実装されました。</w:t>
      </w:r>
    </w:p>
    <w:p w14:paraId="3E19CCBC" w14:textId="031C7586" w:rsidR="004B57C6" w:rsidRPr="00737FB9" w:rsidRDefault="004B57C6" w:rsidP="00737FB9">
      <w:pPr>
        <w:widowControl/>
        <w:spacing w:after="0" w:line="240" w:lineRule="auto"/>
        <w:rPr>
          <w:rFonts w:ascii="ＭＳ Ｐゴシック" w:eastAsia="ＭＳ Ｐゴシック" w:hAnsi="ＭＳ Ｐゴシック" w:cs="ＭＳ Ｐゴシック" w:hint="eastAsia"/>
          <w:kern w:val="0"/>
          <w:sz w:val="24"/>
          <w14:ligatures w14:val="none"/>
        </w:rPr>
      </w:pPr>
    </w:p>
    <w:p w14:paraId="4CB28CC5" w14:textId="77777777" w:rsidR="002D5246" w:rsidRPr="002D5246" w:rsidRDefault="00C30DC3" w:rsidP="00491AC6">
      <w:pPr>
        <w:widowControl/>
        <w:spacing w:before="100" w:beforeAutospacing="1" w:after="100" w:afterAutospacing="1" w:line="240" w:lineRule="auto"/>
        <w:rPr>
          <w:sz w:val="36"/>
          <w:szCs w:val="36"/>
        </w:rPr>
      </w:pPr>
      <w:r w:rsidRPr="002D5246">
        <w:rPr>
          <w:sz w:val="36"/>
          <w:szCs w:val="36"/>
        </w:rPr>
        <w:t xml:space="preserve">結果 </w:t>
      </w:r>
    </w:p>
    <w:p w14:paraId="60616739" w14:textId="600576FC" w:rsidR="007854AB" w:rsidRDefault="00C30DC3" w:rsidP="00491AC6">
      <w:pPr>
        <w:widowControl/>
        <w:spacing w:before="100" w:beforeAutospacing="1" w:after="100" w:afterAutospacing="1" w:line="240" w:lineRule="auto"/>
      </w:pPr>
      <w:r>
        <w:t>図3はPCG信号のセグメント化の結果を示しています。図3の階段グラフでは、レベル1、2、3、および4はそれぞれS1音の間隔、収縮期間隔、S2音の間隔、および拡張期間隔を定義しています。私たちが使用したセグメンテーション戦略は、Springerら（2015年）[18]によって提案され、評価された高度な戦略であるため、その性能を評価しませんでした。</w:t>
      </w:r>
    </w:p>
    <w:p w14:paraId="74CEB491" w14:textId="5B6D2F1B" w:rsidR="00FA738E" w:rsidRDefault="006F33AA" w:rsidP="00491AC6">
      <w:pPr>
        <w:widowControl/>
        <w:spacing w:before="100" w:beforeAutospacing="1" w:after="100" w:afterAutospacing="1" w:line="240" w:lineRule="auto"/>
        <w:rPr>
          <w:rFonts w:hint="eastAsia"/>
        </w:rPr>
      </w:pPr>
      <w:r>
        <w:rPr>
          <w:rFonts w:hint="eastAsia"/>
        </w:rPr>
        <w:t>図3</w:t>
      </w:r>
    </w:p>
    <w:p w14:paraId="11EC2392" w14:textId="62108745" w:rsidR="00C30DC3" w:rsidRDefault="009745C2" w:rsidP="00491AC6">
      <w:pPr>
        <w:widowControl/>
        <w:spacing w:before="100" w:beforeAutospacing="1" w:after="100" w:afterAutospacing="1" w:line="240" w:lineRule="auto"/>
      </w:pPr>
      <w:r>
        <w:t>3.1. 単一分類器戦略の結果 単一分類器は、PCGから抽出された52個の平均MFCCを使用してトレーニングおよびテストされました（図2.A参照）。この戦略では、3種類の分類器が評価されました：</w:t>
      </w:r>
      <w:proofErr w:type="spellStart"/>
      <w:r>
        <w:t>kNN</w:t>
      </w:r>
      <w:proofErr w:type="spellEnd"/>
      <w:r>
        <w:t>、SVM、およびDT。</w:t>
      </w:r>
      <w:proofErr w:type="spellStart"/>
      <w:r>
        <w:t>kNN</w:t>
      </w:r>
      <w:proofErr w:type="spellEnd"/>
      <w:r>
        <w:t>分類器では、</w:t>
      </w:r>
      <w:r>
        <w:rPr>
          <w:rFonts w:ascii="Cambria Math" w:hAnsi="Cambria Math" w:cs="Cambria Math"/>
        </w:rPr>
        <w:t>𝑘</w:t>
      </w:r>
      <w:r>
        <w:t xml:space="preserve"> = 3の場合が1、5、および7の値よりも良い結果を得ました。そのため、</w:t>
      </w:r>
      <w:r>
        <w:rPr>
          <w:rFonts w:ascii="Cambria Math" w:hAnsi="Cambria Math" w:cs="Cambria Math"/>
        </w:rPr>
        <w:t>𝑘</w:t>
      </w:r>
      <w:r>
        <w:t xml:space="preserve"> = 3の場合の結</w:t>
      </w:r>
      <w:r>
        <w:lastRenderedPageBreak/>
        <w:t>果のみを示します。また、SVM分類器では、多項式カーネルが線形カーネルとガウスカーネルよりも良い結果を示しました。そのため、多項式カーネルを使用したSVMの結果のみを示します。3つの分類器（</w:t>
      </w:r>
      <w:proofErr w:type="spellStart"/>
      <w:r>
        <w:t>kNN</w:t>
      </w:r>
      <w:proofErr w:type="spellEnd"/>
      <w:r>
        <w:t>、SVM、およびDT）の精度、感度、および特異度パラメータは、表1に示されています。サポートベクトルマシン（</w:t>
      </w:r>
      <w:r>
        <w:rPr>
          <w:rFonts w:ascii="Cambria Math" w:hAnsi="Cambria Math" w:cs="Cambria Math"/>
        </w:rPr>
        <w:t>𝐴𝑐𝑐</w:t>
      </w:r>
      <w:r>
        <w:t xml:space="preserve"> = 91.95％、</w:t>
      </w:r>
      <w:r>
        <w:rPr>
          <w:rFonts w:ascii="Cambria Math" w:hAnsi="Cambria Math" w:cs="Cambria Math"/>
        </w:rPr>
        <w:t>𝑆𝑒</w:t>
      </w:r>
      <w:r>
        <w:t xml:space="preserve"> = 92.78％、</w:t>
      </w:r>
      <w:r>
        <w:rPr>
          <w:rFonts w:ascii="Cambria Math" w:hAnsi="Cambria Math" w:cs="Cambria Math"/>
        </w:rPr>
        <w:t>𝑆𝑝</w:t>
      </w:r>
      <w:r>
        <w:t xml:space="preserve"> = 91.14％）と</w:t>
      </w:r>
      <w:proofErr w:type="spellStart"/>
      <w:r>
        <w:t>kNN</w:t>
      </w:r>
      <w:proofErr w:type="spellEnd"/>
      <w:r>
        <w:t>（</w:t>
      </w:r>
      <w:r>
        <w:rPr>
          <w:rFonts w:ascii="Cambria Math" w:hAnsi="Cambria Math" w:cs="Cambria Math"/>
        </w:rPr>
        <w:t>𝐴𝑐𝑐</w:t>
      </w:r>
      <w:r>
        <w:t xml:space="preserve"> = 91.9％、</w:t>
      </w:r>
      <w:r>
        <w:rPr>
          <w:rFonts w:ascii="Cambria Math" w:hAnsi="Cambria Math" w:cs="Cambria Math"/>
        </w:rPr>
        <w:t>𝑆𝑒</w:t>
      </w:r>
      <w:r>
        <w:t xml:space="preserve"> = 91.41％、</w:t>
      </w:r>
      <w:r>
        <w:rPr>
          <w:rFonts w:ascii="Cambria Math" w:hAnsi="Cambria Math" w:cs="Cambria Math"/>
        </w:rPr>
        <w:t>𝑆𝑝</w:t>
      </w:r>
      <w:r>
        <w:t xml:space="preserve"> = 92.48％）の両方が、決定木（</w:t>
      </w:r>
      <w:r>
        <w:rPr>
          <w:rFonts w:ascii="Cambria Math" w:hAnsi="Cambria Math" w:cs="Cambria Math"/>
        </w:rPr>
        <w:t>𝐴𝑐𝑐</w:t>
      </w:r>
      <w:r>
        <w:t xml:space="preserve"> = 87.33％、</w:t>
      </w:r>
      <w:r>
        <w:rPr>
          <w:rFonts w:ascii="Cambria Math" w:hAnsi="Cambria Math" w:cs="Cambria Math"/>
        </w:rPr>
        <w:t>𝑆𝑒</w:t>
      </w:r>
      <w:r>
        <w:t xml:space="preserve"> = 86.72％、</w:t>
      </w:r>
      <w:r>
        <w:rPr>
          <w:rFonts w:ascii="Cambria Math" w:hAnsi="Cambria Math" w:cs="Cambria Math"/>
        </w:rPr>
        <w:t>𝑆𝑝</w:t>
      </w:r>
      <w:r>
        <w:t xml:space="preserve"> = 88.03％）を上回りました。SVMと</w:t>
      </w:r>
      <w:proofErr w:type="spellStart"/>
      <w:r>
        <w:t>kNN</w:t>
      </w:r>
      <w:proofErr w:type="spellEnd"/>
      <w:r>
        <w:t>アルゴリズムの精度には統計的に有意な差はありませんでした。ただし、SVMの感度は</w:t>
      </w:r>
      <w:proofErr w:type="spellStart"/>
      <w:r>
        <w:t>kNN</w:t>
      </w:r>
      <w:proofErr w:type="spellEnd"/>
      <w:r>
        <w:t>よりも高かった一方、</w:t>
      </w:r>
      <w:proofErr w:type="spellStart"/>
      <w:r>
        <w:t>kNN</w:t>
      </w:r>
      <w:proofErr w:type="spellEnd"/>
      <w:r>
        <w:t>の特異度は高かったです。SVMと</w:t>
      </w:r>
      <w:proofErr w:type="spellStart"/>
      <w:r>
        <w:t>kNN</w:t>
      </w:r>
      <w:proofErr w:type="spellEnd"/>
      <w:r>
        <w:t>の感度の95％信頼区間は、それぞれ[92.31、93.25]および[91.11、91.71]でした。また、SVMと</w:t>
      </w:r>
      <w:proofErr w:type="spellStart"/>
      <w:r>
        <w:t>kNN</w:t>
      </w:r>
      <w:proofErr w:type="spellEnd"/>
      <w:r>
        <w:t>の特異度の95％信頼区間は、それぞれ[90.67、91.61]および[92.03、92.93]でした。</w:t>
      </w:r>
    </w:p>
    <w:p w14:paraId="7A165E11" w14:textId="6B2C0203" w:rsidR="009745C2" w:rsidRDefault="00FA738E" w:rsidP="00491AC6">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hint="eastAsia"/>
          <w:kern w:val="0"/>
          <w:sz w:val="24"/>
          <w14:ligatures w14:val="none"/>
        </w:rPr>
        <w:t>表</w:t>
      </w:r>
      <w:r w:rsidR="006F33AA">
        <w:rPr>
          <w:rFonts w:ascii="ＭＳ Ｐゴシック" w:eastAsia="ＭＳ Ｐゴシック" w:hAnsi="ＭＳ Ｐゴシック" w:cs="ＭＳ Ｐゴシック" w:hint="eastAsia"/>
          <w:kern w:val="0"/>
          <w:sz w:val="24"/>
          <w14:ligatures w14:val="none"/>
        </w:rPr>
        <w:t>1</w:t>
      </w:r>
    </w:p>
    <w:p w14:paraId="43623058" w14:textId="77777777" w:rsidR="001B6624" w:rsidRPr="001B6624" w:rsidRDefault="001B6624" w:rsidP="001B662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B6624">
        <w:rPr>
          <w:rFonts w:ascii="ＭＳ Ｐゴシック" w:eastAsia="ＭＳ Ｐゴシック" w:hAnsi="ＭＳ Ｐゴシック" w:cs="ＭＳ Ｐゴシック"/>
          <w:kern w:val="0"/>
          <w:sz w:val="24"/>
          <w14:ligatures w14:val="none"/>
        </w:rPr>
        <w:t>3.2. アンサンブル分類器戦略の結果 アンサンブル分類器戦略では、すべての分類器が</w:t>
      </w:r>
      <w:proofErr w:type="spellStart"/>
      <w:r w:rsidRPr="001B6624">
        <w:rPr>
          <w:rFonts w:ascii="ＭＳ Ｐゴシック" w:eastAsia="ＭＳ Ｐゴシック" w:hAnsi="ＭＳ Ｐゴシック" w:cs="ＭＳ Ｐゴシック"/>
          <w:kern w:val="0"/>
          <w:sz w:val="24"/>
          <w14:ligatures w14:val="none"/>
        </w:rPr>
        <w:t>kNN</w:t>
      </w:r>
      <w:proofErr w:type="spellEnd"/>
      <w:r w:rsidRPr="001B6624">
        <w:rPr>
          <w:rFonts w:ascii="ＭＳ Ｐゴシック" w:eastAsia="ＭＳ Ｐゴシック" w:hAnsi="ＭＳ Ｐゴシック" w:cs="ＭＳ Ｐゴシック"/>
          <w:kern w:val="0"/>
          <w:sz w:val="24"/>
          <w14:ligatures w14:val="none"/>
        </w:rPr>
        <w:t>、SVM、またはDTでした。単一分類器戦略と同様に、</w:t>
      </w:r>
      <w:proofErr w:type="spellStart"/>
      <w:r w:rsidRPr="001B6624">
        <w:rPr>
          <w:rFonts w:ascii="ＭＳ Ｐゴシック" w:eastAsia="ＭＳ Ｐゴシック" w:hAnsi="ＭＳ Ｐゴシック" w:cs="ＭＳ Ｐゴシック"/>
          <w:kern w:val="0"/>
          <w:sz w:val="24"/>
          <w14:ligatures w14:val="none"/>
        </w:rPr>
        <w:t>kNN</w:t>
      </w:r>
      <w:proofErr w:type="spellEnd"/>
      <w:r w:rsidRPr="001B6624">
        <w:rPr>
          <w:rFonts w:ascii="ＭＳ Ｐゴシック" w:eastAsia="ＭＳ Ｐゴシック" w:hAnsi="ＭＳ Ｐゴシック" w:cs="ＭＳ Ｐゴシック"/>
          <w:kern w:val="0"/>
          <w:sz w:val="24"/>
          <w14:ligatures w14:val="none"/>
        </w:rPr>
        <w:t>分類器では</w:t>
      </w:r>
      <w:r w:rsidRPr="001B6624">
        <w:rPr>
          <w:rFonts w:ascii="Cambria Math" w:eastAsia="ＭＳ Ｐゴシック" w:hAnsi="Cambria Math" w:cs="Cambria Math"/>
          <w:kern w:val="0"/>
          <w:sz w:val="24"/>
          <w14:ligatures w14:val="none"/>
        </w:rPr>
        <w:t>𝑘</w:t>
      </w:r>
      <w:r w:rsidRPr="001B6624">
        <w:rPr>
          <w:rFonts w:ascii="ＭＳ Ｐゴシック" w:eastAsia="ＭＳ Ｐゴシック" w:hAnsi="ＭＳ Ｐゴシック" w:cs="ＭＳ Ｐゴシック"/>
          <w:kern w:val="0"/>
          <w:sz w:val="24"/>
          <w14:ligatures w14:val="none"/>
        </w:rPr>
        <w:t>＝3が1、5、7の値よりも良い結果を示しました。そのため、</w:t>
      </w:r>
      <w:r w:rsidRPr="001B6624">
        <w:rPr>
          <w:rFonts w:ascii="Cambria Math" w:eastAsia="ＭＳ Ｐゴシック" w:hAnsi="Cambria Math" w:cs="Cambria Math"/>
          <w:kern w:val="0"/>
          <w:sz w:val="24"/>
          <w14:ligatures w14:val="none"/>
        </w:rPr>
        <w:t>𝑘</w:t>
      </w:r>
      <w:r w:rsidRPr="001B6624">
        <w:rPr>
          <w:rFonts w:ascii="ＭＳ Ｐゴシック" w:eastAsia="ＭＳ Ｐゴシック" w:hAnsi="ＭＳ Ｐゴシック" w:cs="ＭＳ Ｐゴシック"/>
          <w:kern w:val="0"/>
          <w:sz w:val="24"/>
          <w14:ligatures w14:val="none"/>
        </w:rPr>
        <w:t>＝3の場合の結果のみを示します。また、SVM分類器では多項式カーネルが線形カーネルやガウスカーネルよりも良い結果を示しました。そのため、多項式カーネルを使用したSVMの結果のみを示します。各分類器（</w:t>
      </w:r>
      <w:proofErr w:type="spellStart"/>
      <w:r w:rsidRPr="001B6624">
        <w:rPr>
          <w:rFonts w:ascii="ＭＳ Ｐゴシック" w:eastAsia="ＭＳ Ｐゴシック" w:hAnsi="ＭＳ Ｐゴシック" w:cs="ＭＳ Ｐゴシック"/>
          <w:kern w:val="0"/>
          <w:sz w:val="24"/>
          <w14:ligatures w14:val="none"/>
        </w:rPr>
        <w:t>kNN</w:t>
      </w:r>
      <w:proofErr w:type="spellEnd"/>
      <w:r w:rsidRPr="001B6624">
        <w:rPr>
          <w:rFonts w:ascii="ＭＳ Ｐゴシック" w:eastAsia="ＭＳ Ｐゴシック" w:hAnsi="ＭＳ Ｐゴシック" w:cs="ＭＳ Ｐゴシック"/>
          <w:kern w:val="0"/>
          <w:sz w:val="24"/>
          <w14:ligatures w14:val="none"/>
        </w:rPr>
        <w:t>、SVM、DT）の精度、感度、特異度のパラメータは、表2に示されています。SVMが最も高い精度（93.59％）と感度（95.4％）を持っており、</w:t>
      </w:r>
      <w:proofErr w:type="spellStart"/>
      <w:r w:rsidRPr="001B6624">
        <w:rPr>
          <w:rFonts w:ascii="ＭＳ Ｐゴシック" w:eastAsia="ＭＳ Ｐゴシック" w:hAnsi="ＭＳ Ｐゴシック" w:cs="ＭＳ Ｐゴシック"/>
          <w:kern w:val="0"/>
          <w:sz w:val="24"/>
          <w14:ligatures w14:val="none"/>
        </w:rPr>
        <w:t>kNN</w:t>
      </w:r>
      <w:proofErr w:type="spellEnd"/>
      <w:r w:rsidRPr="001B6624">
        <w:rPr>
          <w:rFonts w:ascii="ＭＳ Ｐゴシック" w:eastAsia="ＭＳ Ｐゴシック" w:hAnsi="ＭＳ Ｐゴシック" w:cs="ＭＳ Ｐゴシック"/>
          <w:kern w:val="0"/>
          <w:sz w:val="24"/>
          <w14:ligatures w14:val="none"/>
        </w:rPr>
        <w:t>が最も高い特異度（93.02％）を持っています。</w:t>
      </w:r>
      <w:proofErr w:type="spellStart"/>
      <w:r w:rsidRPr="001B6624">
        <w:rPr>
          <w:rFonts w:ascii="ＭＳ Ｐゴシック" w:eastAsia="ＭＳ Ｐゴシック" w:hAnsi="ＭＳ Ｐゴシック" w:cs="ＭＳ Ｐゴシック"/>
          <w:kern w:val="0"/>
          <w:sz w:val="24"/>
          <w14:ligatures w14:val="none"/>
        </w:rPr>
        <w:t>kNN</w:t>
      </w:r>
      <w:proofErr w:type="spellEnd"/>
      <w:r w:rsidRPr="001B6624">
        <w:rPr>
          <w:rFonts w:ascii="ＭＳ Ｐゴシック" w:eastAsia="ＭＳ Ｐゴシック" w:hAnsi="ＭＳ Ｐゴシック" w:cs="ＭＳ Ｐゴシック"/>
          <w:kern w:val="0"/>
          <w:sz w:val="24"/>
          <w14:ligatures w14:val="none"/>
        </w:rPr>
        <w:t>、SVM、DTの精度の95％信頼区間は、それぞれ[91.57, 92.11]、[93.27, 93.91]、[91.89, 92.55]です。</w:t>
      </w:r>
      <w:proofErr w:type="spellStart"/>
      <w:r w:rsidRPr="001B6624">
        <w:rPr>
          <w:rFonts w:ascii="ＭＳ Ｐゴシック" w:eastAsia="ＭＳ Ｐゴシック" w:hAnsi="ＭＳ Ｐゴシック" w:cs="ＭＳ Ｐゴシック"/>
          <w:kern w:val="0"/>
          <w:sz w:val="24"/>
          <w14:ligatures w14:val="none"/>
        </w:rPr>
        <w:t>kNN</w:t>
      </w:r>
      <w:proofErr w:type="spellEnd"/>
      <w:r w:rsidRPr="001B6624">
        <w:rPr>
          <w:rFonts w:ascii="ＭＳ Ｐゴシック" w:eastAsia="ＭＳ Ｐゴシック" w:hAnsi="ＭＳ Ｐゴシック" w:cs="ＭＳ Ｐゴシック"/>
          <w:kern w:val="0"/>
          <w:sz w:val="24"/>
          <w14:ligatures w14:val="none"/>
        </w:rPr>
        <w:t>、SVM、DTの感度の95％信頼区間は、それぞれ[90.63, 91.23]、[95.05, 95.75]、[93.64, 94.42]です。</w:t>
      </w:r>
      <w:proofErr w:type="spellStart"/>
      <w:r w:rsidRPr="001B6624">
        <w:rPr>
          <w:rFonts w:ascii="ＭＳ Ｐゴシック" w:eastAsia="ＭＳ Ｐゴシック" w:hAnsi="ＭＳ Ｐゴシック" w:cs="ＭＳ Ｐゴシック"/>
          <w:kern w:val="0"/>
          <w:sz w:val="24"/>
          <w14:ligatures w14:val="none"/>
        </w:rPr>
        <w:t>kNN</w:t>
      </w:r>
      <w:proofErr w:type="spellEnd"/>
      <w:r w:rsidRPr="001B6624">
        <w:rPr>
          <w:rFonts w:ascii="ＭＳ Ｐゴシック" w:eastAsia="ＭＳ Ｐゴシック" w:hAnsi="ＭＳ Ｐゴシック" w:cs="ＭＳ Ｐゴシック"/>
          <w:kern w:val="0"/>
          <w:sz w:val="24"/>
          <w14:ligatures w14:val="none"/>
        </w:rPr>
        <w:t>、SVM、DTの特異度の95％信頼区間は、それぞれ[92.62, 93.42]、[91.4, 92.22]、[90.06, 91]です。</w:t>
      </w:r>
    </w:p>
    <w:p w14:paraId="642A26E7" w14:textId="276DC065" w:rsidR="0037188C" w:rsidRDefault="00091D45" w:rsidP="001B6624">
      <w:pPr>
        <w:widowControl/>
        <w:spacing w:after="0" w:line="240" w:lineRule="auto"/>
        <w:rPr>
          <w:rFonts w:ascii="ＭＳ Ｐゴシック" w:eastAsia="ＭＳ Ｐゴシック" w:hAnsi="ＭＳ Ｐゴシック" w:cs="ＭＳ Ｐゴシック" w:hint="eastAsia"/>
          <w:kern w:val="0"/>
          <w:sz w:val="24"/>
          <w14:ligatures w14:val="none"/>
        </w:rPr>
      </w:pPr>
      <w:r>
        <w:rPr>
          <w:rFonts w:ascii="ＭＳ Ｐゴシック" w:eastAsia="ＭＳ Ｐゴシック" w:hAnsi="ＭＳ Ｐゴシック" w:cs="ＭＳ Ｐゴシック" w:hint="eastAsia"/>
          <w:kern w:val="0"/>
          <w:sz w:val="24"/>
          <w14:ligatures w14:val="none"/>
        </w:rPr>
        <w:lastRenderedPageBreak/>
        <w:t>表2</w:t>
      </w:r>
    </w:p>
    <w:p w14:paraId="7B44224A" w14:textId="4611B862" w:rsidR="00FA738E" w:rsidRDefault="00AA0E8C" w:rsidP="00491AC6">
      <w:pPr>
        <w:widowControl/>
        <w:spacing w:before="100" w:beforeAutospacing="1" w:after="100" w:afterAutospacing="1" w:line="240" w:lineRule="auto"/>
      </w:pPr>
      <w:r>
        <w:t>3.3. 単一分類器戦略とアンサンブル分類器戦略の比較 図4に示すように、分類器のタイプがDTまたはSVMの場合、アンサンブル分類器戦略の方が単一分類器戦略よりも高い精度を達成しました。図4では、エラーバーは分類精度の95％信頼区間を表しています。平均して、DTの精度は4.89％、SVMの精度は1.64％向上しました。</w:t>
      </w:r>
      <w:proofErr w:type="spellStart"/>
      <w:r>
        <w:t>kNN</w:t>
      </w:r>
      <w:proofErr w:type="spellEnd"/>
      <w:r>
        <w:t>を使用した場合、単一分類器戦略とアンサンブル分類器戦略の精度には統計的に有意な差はありませんでした。</w:t>
      </w:r>
    </w:p>
    <w:p w14:paraId="5A562D75" w14:textId="5FAE33A1" w:rsidR="00AA0E8C" w:rsidRDefault="00AA0E8C" w:rsidP="00491AC6">
      <w:pPr>
        <w:widowControl/>
        <w:spacing w:before="100" w:beforeAutospacing="1" w:after="100" w:afterAutospacing="1" w:line="240" w:lineRule="auto"/>
      </w:pPr>
      <w:r>
        <w:rPr>
          <w:rFonts w:hint="eastAsia"/>
        </w:rPr>
        <w:t>図4</w:t>
      </w:r>
    </w:p>
    <w:p w14:paraId="3EC63188" w14:textId="3970B194" w:rsidR="00AA0E8C" w:rsidRDefault="00BF688D" w:rsidP="00491AC6">
      <w:pPr>
        <w:widowControl/>
        <w:spacing w:before="100" w:beforeAutospacing="1" w:after="100" w:afterAutospacing="1" w:line="240" w:lineRule="auto"/>
      </w:pPr>
      <w:r>
        <w:t>図5に示すように、分類器のタイプがDTまたはSVMの場合、アンサンブル分類器戦略の方が単一分類器戦略よりも高い感度を達成しました。図5では、エラーバーは分類感度の95％信頼区間を表しています。平均して、DTの感度は7.31％、SVMの感度は2.62％向上しました。</w:t>
      </w:r>
      <w:proofErr w:type="spellStart"/>
      <w:r>
        <w:t>kNN</w:t>
      </w:r>
      <w:proofErr w:type="spellEnd"/>
      <w:r>
        <w:t>を使用した場合、単一分類器戦略とアンサンブル分類器戦略の感度には統計的に有意な差はありませんでした。</w:t>
      </w:r>
    </w:p>
    <w:p w14:paraId="0395B1AE" w14:textId="0A9D3127" w:rsidR="00BF688D" w:rsidRPr="00491AC6" w:rsidRDefault="00091D45" w:rsidP="00491AC6">
      <w:pPr>
        <w:widowControl/>
        <w:spacing w:before="100" w:beforeAutospacing="1" w:after="100" w:afterAutospacing="1" w:line="240" w:lineRule="auto"/>
        <w:rPr>
          <w:rFonts w:ascii="ＭＳ Ｐゴシック" w:eastAsia="ＭＳ Ｐゴシック" w:hAnsi="ＭＳ Ｐゴシック" w:cs="ＭＳ Ｐゴシック" w:hint="eastAsia"/>
          <w:kern w:val="0"/>
          <w:sz w:val="24"/>
          <w14:ligatures w14:val="none"/>
        </w:rPr>
      </w:pPr>
      <w:r>
        <w:rPr>
          <w:rFonts w:ascii="ＭＳ Ｐゴシック" w:eastAsia="ＭＳ Ｐゴシック" w:hAnsi="ＭＳ Ｐゴシック" w:cs="ＭＳ Ｐゴシック" w:hint="eastAsia"/>
          <w:kern w:val="0"/>
          <w:sz w:val="24"/>
          <w14:ligatures w14:val="none"/>
        </w:rPr>
        <w:t>図5</w:t>
      </w:r>
    </w:p>
    <w:p w14:paraId="6D2707F0" w14:textId="55D14201" w:rsidR="00491AC6" w:rsidRDefault="00E27137" w:rsidP="00F04EB3">
      <w:pPr>
        <w:tabs>
          <w:tab w:val="left" w:pos="2940"/>
        </w:tabs>
      </w:pPr>
      <w:r>
        <w:t>図6に示すように、分類器のタイプがDTの場合、アンサンブル分類器戦略は単一分類器戦略よりも高い特異度を達成しました。図6では、エラーバーは分類特異度の95％信頼区間を表しています。平均して、DTの特異度は2.5％向上しました。</w:t>
      </w:r>
      <w:proofErr w:type="spellStart"/>
      <w:r>
        <w:t>kNN</w:t>
      </w:r>
      <w:proofErr w:type="spellEnd"/>
      <w:r>
        <w:t>と</w:t>
      </w:r>
      <w:r>
        <w:lastRenderedPageBreak/>
        <w:t>SVMを使用した場合、単一分類器戦略とアンサンブル分類器戦略の特異度には統計的に有意な差はありませんでした。</w:t>
      </w:r>
    </w:p>
    <w:p w14:paraId="240E9FEA" w14:textId="4823F2B3" w:rsidR="00E27137" w:rsidRDefault="00E27137" w:rsidP="00F04EB3">
      <w:pPr>
        <w:tabs>
          <w:tab w:val="left" w:pos="2940"/>
        </w:tabs>
      </w:pPr>
      <w:r>
        <w:rPr>
          <w:rFonts w:hint="eastAsia"/>
        </w:rPr>
        <w:t>図6</w:t>
      </w:r>
    </w:p>
    <w:p w14:paraId="32077901" w14:textId="77777777" w:rsidR="005B14F9" w:rsidRDefault="005B14F9" w:rsidP="005B14F9">
      <w:pPr>
        <w:pStyle w:val="Web"/>
      </w:pPr>
    </w:p>
    <w:p w14:paraId="70459A75" w14:textId="69B77E50" w:rsidR="005B14F9" w:rsidRDefault="005B14F9" w:rsidP="005B14F9">
      <w:pPr>
        <w:pStyle w:val="Web"/>
        <w:rPr>
          <w:rFonts w:hint="eastAsia"/>
        </w:rPr>
      </w:pPr>
      <w:r>
        <w:rPr>
          <w:rFonts w:hint="eastAsia"/>
        </w:rPr>
        <w:t>4.</w:t>
      </w:r>
      <w:r w:rsidR="008311CA">
        <w:rPr>
          <w:rFonts w:hint="eastAsia"/>
        </w:rPr>
        <w:t>討論</w:t>
      </w:r>
    </w:p>
    <w:p w14:paraId="574A497D" w14:textId="7CCBD06A" w:rsidR="005B14F9" w:rsidRDefault="005B14F9" w:rsidP="005B14F9">
      <w:pPr>
        <w:pStyle w:val="Web"/>
      </w:pPr>
      <w:r>
        <w:t>MFCCは、オーディオ処理などのアプリケーションで使用されており、PCG処理にも使用されています。この研究では、MFCCを使用して異常なPCGを検出する性能を調査するために、2つの分類戦略が設計されました。単一分類器戦略は、S1、収縮期、S2、および拡張期間から抽出された52個の平均MFCCに基づき、PCGが正常か異常かを判断します。一方、アンサンブル分類器戦略では、まず各PCG拍の52個のMFCCを使用して各PCG拍が正常か異常かを判断し、それから全体としてPCGが正常拍よりも異常拍が多い場合は正常とし、逆もまた然りとします。単一分類器戦略では、SVM（</w:t>
      </w:r>
      <w:r>
        <w:rPr>
          <w:rFonts w:ascii="Cambria Math" w:hAnsi="Cambria Math" w:cs="Cambria Math"/>
        </w:rPr>
        <w:t>𝐴𝑐𝑐</w:t>
      </w:r>
      <w:r>
        <w:t xml:space="preserve"> = 91.95％）と</w:t>
      </w:r>
      <w:proofErr w:type="spellStart"/>
      <w:r>
        <w:t>kNN</w:t>
      </w:r>
      <w:proofErr w:type="spellEnd"/>
      <w:r>
        <w:t>（</w:t>
      </w:r>
      <w:r>
        <w:rPr>
          <w:rFonts w:ascii="Cambria Math" w:hAnsi="Cambria Math" w:cs="Cambria Math"/>
        </w:rPr>
        <w:t>𝐴𝑐𝑐</w:t>
      </w:r>
      <w:r>
        <w:t xml:space="preserve"> = 91.9％）の両方がDT（</w:t>
      </w:r>
      <w:r>
        <w:rPr>
          <w:rFonts w:ascii="Cambria Math" w:hAnsi="Cambria Math" w:cs="Cambria Math"/>
        </w:rPr>
        <w:t>𝐴𝑐𝑐</w:t>
      </w:r>
      <w:r>
        <w:t xml:space="preserve"> = 87.33％）よりも高い分類精度を得ましたが、</w:t>
      </w:r>
      <w:proofErr w:type="spellStart"/>
      <w:r>
        <w:t>kNN</w:t>
      </w:r>
      <w:proofErr w:type="spellEnd"/>
      <w:r>
        <w:t>とSVMの間には有意な差はありませんでした。アンサンブル分類器戦略では、SVM（</w:t>
      </w:r>
      <w:r>
        <w:rPr>
          <w:rFonts w:ascii="Cambria Math" w:hAnsi="Cambria Math" w:cs="Cambria Math"/>
        </w:rPr>
        <w:t>𝐴𝑐𝑐</w:t>
      </w:r>
      <w:r>
        <w:t xml:space="preserve"> = 93.59％）が</w:t>
      </w:r>
      <w:proofErr w:type="spellStart"/>
      <w:r>
        <w:t>kNN</w:t>
      </w:r>
      <w:proofErr w:type="spellEnd"/>
      <w:r>
        <w:t>（</w:t>
      </w:r>
      <w:r>
        <w:rPr>
          <w:rFonts w:ascii="Cambria Math" w:hAnsi="Cambria Math" w:cs="Cambria Math"/>
        </w:rPr>
        <w:t>𝐴𝑐𝑐</w:t>
      </w:r>
      <w:r>
        <w:t xml:space="preserve"> = 91.84％）およびDT（</w:t>
      </w:r>
      <w:r>
        <w:rPr>
          <w:rFonts w:ascii="Cambria Math" w:hAnsi="Cambria Math" w:cs="Cambria Math"/>
        </w:rPr>
        <w:t>𝐴𝑐𝑐</w:t>
      </w:r>
      <w:r>
        <w:t xml:space="preserve"> = 92.22％）よりも高い分類精度を示しましたが、</w:t>
      </w:r>
      <w:proofErr w:type="spellStart"/>
      <w:r>
        <w:t>kNN</w:t>
      </w:r>
      <w:proofErr w:type="spellEnd"/>
      <w:r>
        <w:t>とDTの間には有意な差はありませんでした。</w:t>
      </w:r>
    </w:p>
    <w:p w14:paraId="162B2988" w14:textId="6D031065" w:rsidR="00E27137" w:rsidRDefault="005B14F9" w:rsidP="005B14F9">
      <w:pPr>
        <w:pStyle w:val="Web"/>
      </w:pPr>
      <w:r>
        <w:t>両分類戦略を比較すると、アンサンブル分類器戦略では、SVMとDTの精度がそれぞれ1.64％と4.89％向上しましたが、</w:t>
      </w:r>
      <w:proofErr w:type="spellStart"/>
      <w:r>
        <w:t>kNN</w:t>
      </w:r>
      <w:proofErr w:type="spellEnd"/>
      <w:r>
        <w:t>の精度は大幅な変化はありませんでした。全体として、DTの精度、感度、および特異度は、単一分類器戦略からアンサンブル分類器戦略へと大幅に向上しました。また、アンサンブル分類器のSVM分類器が最高の分類精度（93.59％）を達成しました。アンサンブル分類器が単一分類器よりも優れていた理由の1つは、後者の戦略でのMFCCの平均化が、実際には異常なPCGを検出するための非常に重要な手がかりである個々の拍の違いを除去するためである可能性があります。もう1つの理由は、平均化にはPCGセグメントS1、収縮期、S2、および拡張期と、他の拍のそれらのセグメントとの非常に正確なタイミングが必要とされることです。この正確なタイミングは、フォノカルディオグラムが非定常であるため、実際にはほぼ不可能です。要するに、結果は、アンサンブル分類器戦略が単一分類器戦略よりも効率的であることを示唆しています。</w:t>
      </w:r>
    </w:p>
    <w:p w14:paraId="3F415BF1" w14:textId="77777777" w:rsidR="006F3D59" w:rsidRDefault="006F3D59" w:rsidP="006F3D59">
      <w:pPr>
        <w:pStyle w:val="Web"/>
      </w:pPr>
      <w:r>
        <w:lastRenderedPageBreak/>
        <w:t>Table 3は、現在の研究と</w:t>
      </w:r>
      <w:proofErr w:type="spellStart"/>
      <w:r>
        <w:t>PhysioNET</w:t>
      </w:r>
      <w:proofErr w:type="spellEnd"/>
      <w:r>
        <w:t xml:space="preserve"> </w:t>
      </w:r>
      <w:proofErr w:type="spellStart"/>
      <w:r>
        <w:t>CinC</w:t>
      </w:r>
      <w:proofErr w:type="spellEnd"/>
      <w:r>
        <w:t xml:space="preserve"> 2016データベース（セクション2.1）および/またはMFCCを使用したいくつかの類似研究との結果を比較しています。表3に示されている分類精度は、各論文で直接報告されたか、それらの論文で報告されたデータから推定されました。Khanら（2020）[3]の手法では、MFCCはセグメンテーションされていない信号から推定され、精度が80.68％と低くなりました。それに対して、私たちの手法は、音響心電図をS1、収縮期、S2、拡張期の異なる心音区間に分割することから利益を得ており、これは単一およびアンサンブル分類器の精度がそれぞれ91.95％および93.59％と高くなっている可能性があります。Milaniら（2021）[10]の手法では、MFCCはセグメント化された信号から推定されましたが、S1およびS2のセグメンテーションは収縮期および拡張期の検出に基づいている簡単な方法であったため、精度は83.33％と低くなりました。MFCCを時間領域特徴と連結することで、精度が83.33％から93.33％に向上しましたが、このモデルの複雑さが増しましたが、その特異性（</w:t>
      </w:r>
      <w:proofErr w:type="spellStart"/>
      <w:r>
        <w:t>Sp</w:t>
      </w:r>
      <w:proofErr w:type="spellEnd"/>
      <w:r>
        <w:t>=88.24％）は私たちのアンサンブル分類器（Se=91.81％）よりもはるかに低くなりました。</w:t>
      </w:r>
    </w:p>
    <w:p w14:paraId="4970F2C2" w14:textId="77777777" w:rsidR="006F3D59" w:rsidRDefault="006F3D59" w:rsidP="006F3D59">
      <w:pPr>
        <w:pStyle w:val="Web"/>
      </w:pPr>
      <w:r>
        <w:t>時間、周波数、および時間周波数領域から抽出された特徴は、PCG処理のアプリケーション[3、8、12、13]でも使用されています。LangleyとMurray（2017）[8]は、非セグメント化されたPCGを分類するためにスペクトル振幅とウェーブレットエントロピー（2つの特徴）を使用し、79.33％という精度を達成しました。これは私たちの単一分類器（Acc=91.95％）およびアンサンブル分類器戦略（Acc=93.59％）よりもはるかに低いです。これは再び、信号セグメンテーションがPCG分類に必須であることを示しています。</w:t>
      </w:r>
    </w:p>
    <w:p w14:paraId="0D1DDDE3" w14:textId="77777777" w:rsidR="006F3D59" w:rsidRDefault="006F3D59" w:rsidP="006F3D59">
      <w:pPr>
        <w:pStyle w:val="Web"/>
      </w:pPr>
      <w:r>
        <w:t xml:space="preserve">LangleyとMurray（2017）[8]が提案した方法と異なり、Khanら（2020）[3]の手法は、時間と時間周波数[3]を使用してセグメント化された音響心電図を分類し、91.23％の精度に達しました。同様に、HomsiとWarrick（2017）[13]は、セグメンテーションされた音響心電図の分類に時間、周波数、統計、およびウェーブレット特徴を使用しました。彼らは（Acc=86.58％）の精度に達しました。 </w:t>
      </w:r>
      <w:proofErr w:type="spellStart"/>
      <w:r>
        <w:t>Sotaquirá</w:t>
      </w:r>
      <w:proofErr w:type="spellEnd"/>
      <w:r>
        <w:t>ら（2018）[12]も同様の特徴を使用して正常/異常なPCGサイクルを分類しました。ディープラーニングを使用して92.6％の精度を達成しました。これはHomsiとWarrick（2017）[13]を大幅に改善していますが、私たちのアンサンブル分類器（Acc=93.59％）よりも低いです。時間および時間周波数特徴を使用する方法よりもMFCCを使用する私たちの方法（特に私たちのアンサンブル分類器）が優れていることは、MFCCが時間および時間周波数特徴よりも音響心電図のより良い表現を提供することを意味しています。</w:t>
      </w:r>
    </w:p>
    <w:p w14:paraId="10B31BDA" w14:textId="0737F7DF" w:rsidR="006F3D59" w:rsidRDefault="006F3D59" w:rsidP="005B14F9">
      <w:pPr>
        <w:pStyle w:val="Web"/>
      </w:pPr>
      <w:r>
        <w:rPr>
          <w:rFonts w:hint="eastAsia"/>
        </w:rPr>
        <w:t>表3</w:t>
      </w:r>
    </w:p>
    <w:p w14:paraId="4D428EE0" w14:textId="77777777" w:rsidR="008E1F56" w:rsidRDefault="008E1F56" w:rsidP="008E1F56">
      <w:pPr>
        <w:pStyle w:val="Web"/>
      </w:pPr>
      <w:r>
        <w:lastRenderedPageBreak/>
        <w:t>一部の研究では、MFCCと時間および時間周波数特徴の組み合わせを調査し、分類精度を向上させることが試みられました。たとえば、[10]では、MFCCを時間特徴と連結することで、分類精度が83.33％から93.33％に向上しました。[14]では、MFCCを時間特徴と統計特徴と連結することで、分類精度が99.91％に向上しました。同様に、[11]では、MFCCを時間特徴、周波数特徴、時間周波数特徴、およびウェーブレット特徴と連結することで、PCGを使用した三尖弁逆流の重症度の分類精度が98.78％に向上しました。最後の2つの研究で使用されたPCGデータベースは、</w:t>
      </w:r>
      <w:proofErr w:type="spellStart"/>
      <w:r>
        <w:t>PhysioNET</w:t>
      </w:r>
      <w:proofErr w:type="spellEnd"/>
      <w:r>
        <w:t xml:space="preserve"> </w:t>
      </w:r>
      <w:proofErr w:type="spellStart"/>
      <w:r>
        <w:t>CinC</w:t>
      </w:r>
      <w:proofErr w:type="spellEnd"/>
      <w:r>
        <w:t xml:space="preserve"> 2016データベースとは異なりますが、これらの結果は、MFCCを他の特徴と連結することがPCGアプリケーションにとってより効果的である可能性があることを示唆しています。ただし、この精度向上はシステムの複雑性の増加と引き換えに得られます。</w:t>
      </w:r>
    </w:p>
    <w:p w14:paraId="0D700D0E" w14:textId="77777777" w:rsidR="008E1F56" w:rsidRDefault="008E1F56" w:rsidP="008E1F56">
      <w:pPr>
        <w:pStyle w:val="Web"/>
      </w:pPr>
      <w:r>
        <w:t>Krishnanら（2020）[9]が取った異なるアプローチでは、非セグメント化されたPCGからの特徴抽出のために1次元畳み込みネットワークが提案され、85.65％の精度、非常に低い感度（57.78％）、および特異性（92.98％）が得られました。別の実験では、4つの隠れ層を持つMLPを適用し、感度が57.78％から86.73％に向上しましたが、精度は変わりませんでした。同様に、Riccioら（2023）[16]は、畳み込みニューラルネットワークを使用して修正された精度85％に達しました。彼らは、1次元PCGから2次元カラー画像を生成するためにPartitioned Iterated Function Systems（PIFS）を使用しました。これらの画像はCNNの入力として使用されました。これらの2つの研究の結果は、私たちの単一分類器（Acc=91.95％）およびアンサンブル分類器戦略（Acc=93.59％）よりもはるかに低いです。これは、a）非セグメント化されたPCGが使用されたこと、および/またはb）深層ニューラルネットによって抽出された特徴がMFCCよりも効率的でない可能性があるためです。</w:t>
      </w:r>
    </w:p>
    <w:p w14:paraId="1AFC06ED" w14:textId="2CF97F98" w:rsidR="006F3D59" w:rsidRPr="008E1F56" w:rsidRDefault="008E1F56" w:rsidP="005B14F9">
      <w:pPr>
        <w:pStyle w:val="Web"/>
        <w:rPr>
          <w:rFonts w:hint="eastAsia"/>
        </w:rPr>
      </w:pPr>
      <w:r>
        <w:t>図7は、表3に引用された先行研究の精度、感度、および特異性を私たちの単一およびアンサンブル分類器と比較しています。図7に含まれているのは、a）</w:t>
      </w:r>
      <w:proofErr w:type="spellStart"/>
      <w:r>
        <w:t>PhysioNET</w:t>
      </w:r>
      <w:proofErr w:type="spellEnd"/>
      <w:r>
        <w:t xml:space="preserve"> </w:t>
      </w:r>
      <w:proofErr w:type="spellStart"/>
      <w:r>
        <w:t>CinC</w:t>
      </w:r>
      <w:proofErr w:type="spellEnd"/>
      <w:r>
        <w:t xml:space="preserve"> 2016データベースを使用し、b）分類精度、感度、および特異性が直接報告されたか、または報告されたデータから推定可能な研究のみです。図7から分かるように、私たちのアンサンブル分類器は最高の精度（Acc=93.59％）と2番目に高い感度（Se=95.4％）を持っています。 [10]で提案された手法は最高の感度（Se=100％）を持っていますが、その特異性（</w:t>
      </w:r>
      <w:proofErr w:type="spellStart"/>
      <w:r>
        <w:t>Sp</w:t>
      </w:r>
      <w:proofErr w:type="spellEnd"/>
      <w:r>
        <w:t>=88.24％）は私たちのアンサンブル分類器（</w:t>
      </w:r>
      <w:proofErr w:type="spellStart"/>
      <w:r>
        <w:t>Sp</w:t>
      </w:r>
      <w:proofErr w:type="spellEnd"/>
      <w:r>
        <w:t>=91.84％）よりも低いことを強調する必要があります。最後に、私たちのアンサンブル分類器は3番目に高い特異性（</w:t>
      </w:r>
      <w:proofErr w:type="spellStart"/>
      <w:r>
        <w:t>Sp</w:t>
      </w:r>
      <w:proofErr w:type="spellEnd"/>
      <w:r>
        <w:t>=91.81％）を持っています。最高の特異性は、[3]（</w:t>
      </w:r>
      <w:proofErr w:type="spellStart"/>
      <w:r>
        <w:t>Sp</w:t>
      </w:r>
      <w:proofErr w:type="spellEnd"/>
      <w:r>
        <w:t>=97.04％）と[12]（</w:t>
      </w:r>
      <w:proofErr w:type="spellStart"/>
      <w:r>
        <w:t>Sp</w:t>
      </w:r>
      <w:proofErr w:type="spellEnd"/>
      <w:r>
        <w:t>=93.8％）であり、両方とも感度が私たちのアンサンブル分類器（Se=95.40％）よりも低い（Se=78.81％、および91.3％）ことを示します。全体的に、私たちのアンサンブル分類器は他の研究を凌駕しているようです。</w:t>
      </w:r>
    </w:p>
    <w:p w14:paraId="1314DA5B" w14:textId="7F846406" w:rsidR="009257D0" w:rsidRDefault="009257D0" w:rsidP="005B14F9">
      <w:pPr>
        <w:pStyle w:val="Web"/>
      </w:pPr>
      <w:r>
        <w:rPr>
          <w:rFonts w:hint="eastAsia"/>
        </w:rPr>
        <w:lastRenderedPageBreak/>
        <w:t>図7</w:t>
      </w:r>
    </w:p>
    <w:p w14:paraId="1F7B011D" w14:textId="77777777" w:rsidR="004E583B" w:rsidRPr="004E583B" w:rsidRDefault="004E583B" w:rsidP="004E583B">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4E583B">
        <w:rPr>
          <w:rFonts w:ascii="ＭＳ Ｐゴシック" w:eastAsia="ＭＳ Ｐゴシック" w:hAnsi="ＭＳ Ｐゴシック" w:cs="ＭＳ Ｐゴシック"/>
          <w:kern w:val="0"/>
          <w:sz w:val="24"/>
          <w14:ligatures w14:val="none"/>
        </w:rPr>
        <w:t>私たちのアンサンブル分類器はPCGの分類に高い精度を達成しましたが、私たちの手法にはいくつかの制限があります。第一に、使用したセグメンテーションアルゴリズムが最先端であったため、セグメンテーションステップを評価していません。第二に、MFCCは心音のスペクトル特性のみを捉えており、過去の研究で示されているように[10, 11, 14]、時間的特徴は分類性能に寄与できます。したがって、将来的には心音の時間的特徴をモデルに組み込む必要があります。第三に、MFCCが心音図の分類に効果的であったため、教師ありセグメンテーションアルゴリズムを開発する際に、MFCCが効果的に使用できるかどうかを調査する必要があります。その場合、提案された戦略の複雑さが大幅に低減されます。最後に、私たちの結果は、アンサンブル分類器が異常な心音図を正常なものと区別するための二値分類問題に非常に効率的であることを確認していますが、それを多クラス分類問題で評価し、心血管疾患を検出する必要があります。</w:t>
      </w:r>
    </w:p>
    <w:p w14:paraId="4CE666EA" w14:textId="106015FB" w:rsidR="004E583B" w:rsidRDefault="004E583B" w:rsidP="004E583B">
      <w:pPr>
        <w:widowControl/>
        <w:spacing w:after="0" w:line="240" w:lineRule="auto"/>
        <w:rPr>
          <w:rFonts w:ascii="ＭＳ Ｐゴシック" w:eastAsia="ＭＳ Ｐゴシック" w:hAnsi="ＭＳ Ｐゴシック" w:cs="ＭＳ Ｐゴシック"/>
          <w:kern w:val="0"/>
          <w:sz w:val="24"/>
          <w14:ligatures w14:val="none"/>
        </w:rPr>
      </w:pPr>
    </w:p>
    <w:p w14:paraId="6D8EABEA" w14:textId="0ED68CAA" w:rsidR="004E583B" w:rsidRDefault="0083451C" w:rsidP="004E583B">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hint="eastAsia"/>
          <w:kern w:val="0"/>
          <w:sz w:val="24"/>
          <w14:ligatures w14:val="none"/>
        </w:rPr>
        <w:t>5. 結論</w:t>
      </w:r>
    </w:p>
    <w:p w14:paraId="2D0F11B8" w14:textId="19D63981" w:rsidR="006D1563" w:rsidRPr="0083451C" w:rsidRDefault="0083451C" w:rsidP="0083451C">
      <w:pPr>
        <w:widowControl/>
        <w:spacing w:before="100" w:beforeAutospacing="1" w:after="100" w:afterAutospacing="1" w:line="240" w:lineRule="auto"/>
        <w:rPr>
          <w:rFonts w:ascii="ＭＳ Ｐゴシック" w:eastAsia="ＭＳ Ｐゴシック" w:hAnsi="ＭＳ Ｐゴシック" w:cs="ＭＳ Ｐゴシック" w:hint="eastAsia"/>
          <w:kern w:val="0"/>
          <w:sz w:val="24"/>
          <w14:ligatures w14:val="none"/>
        </w:rPr>
      </w:pPr>
      <w:r w:rsidRPr="0083451C">
        <w:rPr>
          <w:rFonts w:ascii="ＭＳ Ｐゴシック" w:eastAsia="ＭＳ Ｐゴシック" w:hAnsi="ＭＳ Ｐゴシック" w:cs="ＭＳ Ｐゴシック"/>
          <w:kern w:val="0"/>
          <w:sz w:val="24"/>
          <w14:ligatures w14:val="none"/>
        </w:rPr>
        <w:t>MFCCsを使用した異常なPCGの検出性能を評価しました。この評価には、シングルクラシファイア戦略とアンサンブルクラシファイア戦略の2つの分類戦略が使用されました。シングルクラシファイア戦略では、異なるPCGビートから抽出されたMFCCがまず平均化され、その平均MFCCがPCGを分類するために使用されます。一方、アンサンブルクラシファイア戦略では、MFCCが9つの分類器のアンサンブルによって使用され、PCGビートを正常/異常ビートに分類します。最終的に、ほとんどのビートが正常と分類されれば、PCGは正常と見なされます。それ以外の場合は異常です。両戦略は、公開されているPCG信号のデータベースでテストされました。結果は、アンサンブルクラシファイア戦略がより高い精度でPCGを分類できることを示し、他の特徴（時間、時間-周波数、統計的特徴など）よりもMFCCが効果的であることが確認されました。</w:t>
      </w:r>
    </w:p>
    <w:sectPr w:rsidR="006D1563" w:rsidRPr="0083451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D1D95"/>
    <w:multiLevelType w:val="multilevel"/>
    <w:tmpl w:val="0DB0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E3B63"/>
    <w:multiLevelType w:val="multilevel"/>
    <w:tmpl w:val="2838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122905">
    <w:abstractNumId w:val="1"/>
  </w:num>
  <w:num w:numId="2" w16cid:durableId="61120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C2"/>
    <w:rsid w:val="00017230"/>
    <w:rsid w:val="00091D45"/>
    <w:rsid w:val="000E004F"/>
    <w:rsid w:val="001120E4"/>
    <w:rsid w:val="001631DB"/>
    <w:rsid w:val="00196A6E"/>
    <w:rsid w:val="001B6624"/>
    <w:rsid w:val="001F1B2B"/>
    <w:rsid w:val="0024264F"/>
    <w:rsid w:val="00264468"/>
    <w:rsid w:val="002D5246"/>
    <w:rsid w:val="00311BBD"/>
    <w:rsid w:val="0037188C"/>
    <w:rsid w:val="00371B8C"/>
    <w:rsid w:val="00377157"/>
    <w:rsid w:val="003970C9"/>
    <w:rsid w:val="00491AC6"/>
    <w:rsid w:val="004B57C6"/>
    <w:rsid w:val="004E583B"/>
    <w:rsid w:val="004F49B6"/>
    <w:rsid w:val="00517C71"/>
    <w:rsid w:val="00575FE0"/>
    <w:rsid w:val="005B14F9"/>
    <w:rsid w:val="005D1E1C"/>
    <w:rsid w:val="005E4C1E"/>
    <w:rsid w:val="00634FC2"/>
    <w:rsid w:val="00671520"/>
    <w:rsid w:val="006D1563"/>
    <w:rsid w:val="006F33AA"/>
    <w:rsid w:val="006F3D59"/>
    <w:rsid w:val="00737FB9"/>
    <w:rsid w:val="00756326"/>
    <w:rsid w:val="007854AB"/>
    <w:rsid w:val="007E4976"/>
    <w:rsid w:val="008311CA"/>
    <w:rsid w:val="0083451C"/>
    <w:rsid w:val="008E1F56"/>
    <w:rsid w:val="008E2EEE"/>
    <w:rsid w:val="009257D0"/>
    <w:rsid w:val="00927F86"/>
    <w:rsid w:val="00933579"/>
    <w:rsid w:val="009544E9"/>
    <w:rsid w:val="00960509"/>
    <w:rsid w:val="009745C2"/>
    <w:rsid w:val="00993710"/>
    <w:rsid w:val="009A7812"/>
    <w:rsid w:val="00AA0E8C"/>
    <w:rsid w:val="00AC0119"/>
    <w:rsid w:val="00BF688D"/>
    <w:rsid w:val="00C30DC3"/>
    <w:rsid w:val="00C6453F"/>
    <w:rsid w:val="00CE661E"/>
    <w:rsid w:val="00D5634F"/>
    <w:rsid w:val="00E27137"/>
    <w:rsid w:val="00E60BB3"/>
    <w:rsid w:val="00F04EB3"/>
    <w:rsid w:val="00FA738E"/>
    <w:rsid w:val="00FE5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F11AD6"/>
  <w15:chartTrackingRefBased/>
  <w15:docId w15:val="{52B720EE-27E5-4F81-8013-F1C52713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4FC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34FC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34FC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634FC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34FC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34FC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34FC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34FC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34FC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34FC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34FC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34FC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634FC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34FC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34FC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34FC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34FC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34FC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34F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34F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4F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34F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4FC2"/>
    <w:pPr>
      <w:spacing w:before="160"/>
      <w:jc w:val="center"/>
    </w:pPr>
    <w:rPr>
      <w:i/>
      <w:iCs/>
      <w:color w:val="404040" w:themeColor="text1" w:themeTint="BF"/>
    </w:rPr>
  </w:style>
  <w:style w:type="character" w:customStyle="1" w:styleId="a8">
    <w:name w:val="引用文 (文字)"/>
    <w:basedOn w:val="a0"/>
    <w:link w:val="a7"/>
    <w:uiPriority w:val="29"/>
    <w:rsid w:val="00634FC2"/>
    <w:rPr>
      <w:i/>
      <w:iCs/>
      <w:color w:val="404040" w:themeColor="text1" w:themeTint="BF"/>
    </w:rPr>
  </w:style>
  <w:style w:type="paragraph" w:styleId="a9">
    <w:name w:val="List Paragraph"/>
    <w:basedOn w:val="a"/>
    <w:uiPriority w:val="34"/>
    <w:qFormat/>
    <w:rsid w:val="00634FC2"/>
    <w:pPr>
      <w:ind w:left="720"/>
      <w:contextualSpacing/>
    </w:pPr>
  </w:style>
  <w:style w:type="character" w:styleId="21">
    <w:name w:val="Intense Emphasis"/>
    <w:basedOn w:val="a0"/>
    <w:uiPriority w:val="21"/>
    <w:qFormat/>
    <w:rsid w:val="00634FC2"/>
    <w:rPr>
      <w:i/>
      <w:iCs/>
      <w:color w:val="0F4761" w:themeColor="accent1" w:themeShade="BF"/>
    </w:rPr>
  </w:style>
  <w:style w:type="paragraph" w:styleId="22">
    <w:name w:val="Intense Quote"/>
    <w:basedOn w:val="a"/>
    <w:next w:val="a"/>
    <w:link w:val="23"/>
    <w:uiPriority w:val="30"/>
    <w:qFormat/>
    <w:rsid w:val="00634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34FC2"/>
    <w:rPr>
      <w:i/>
      <w:iCs/>
      <w:color w:val="0F4761" w:themeColor="accent1" w:themeShade="BF"/>
    </w:rPr>
  </w:style>
  <w:style w:type="character" w:styleId="24">
    <w:name w:val="Intense Reference"/>
    <w:basedOn w:val="a0"/>
    <w:uiPriority w:val="32"/>
    <w:qFormat/>
    <w:rsid w:val="00634FC2"/>
    <w:rPr>
      <w:b/>
      <w:bCs/>
      <w:smallCaps/>
      <w:color w:val="0F4761" w:themeColor="accent1" w:themeShade="BF"/>
      <w:spacing w:val="5"/>
    </w:rPr>
  </w:style>
  <w:style w:type="paragraph" w:styleId="Web">
    <w:name w:val="Normal (Web)"/>
    <w:basedOn w:val="a"/>
    <w:uiPriority w:val="99"/>
    <w:unhideWhenUsed/>
    <w:rsid w:val="00491AC6"/>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katex-mathml">
    <w:name w:val="katex-mathml"/>
    <w:basedOn w:val="a0"/>
    <w:rsid w:val="005E4C1E"/>
  </w:style>
  <w:style w:type="character" w:customStyle="1" w:styleId="mord">
    <w:name w:val="mord"/>
    <w:basedOn w:val="a0"/>
    <w:rsid w:val="005E4C1E"/>
  </w:style>
  <w:style w:type="character" w:customStyle="1" w:styleId="vlist-s">
    <w:name w:val="vlist-s"/>
    <w:basedOn w:val="a0"/>
    <w:rsid w:val="005E4C1E"/>
  </w:style>
  <w:style w:type="character" w:customStyle="1" w:styleId="mopen">
    <w:name w:val="mopen"/>
    <w:basedOn w:val="a0"/>
    <w:rsid w:val="005E4C1E"/>
  </w:style>
  <w:style w:type="character" w:customStyle="1" w:styleId="mclose">
    <w:name w:val="mclose"/>
    <w:basedOn w:val="a0"/>
    <w:rsid w:val="005E4C1E"/>
  </w:style>
  <w:style w:type="character" w:customStyle="1" w:styleId="mrel">
    <w:name w:val="mrel"/>
    <w:basedOn w:val="a0"/>
    <w:rsid w:val="00196A6E"/>
  </w:style>
  <w:style w:type="character" w:customStyle="1" w:styleId="mop">
    <w:name w:val="mop"/>
    <w:basedOn w:val="a0"/>
    <w:rsid w:val="00196A6E"/>
  </w:style>
  <w:style w:type="character" w:customStyle="1" w:styleId="mbin">
    <w:name w:val="mbin"/>
    <w:basedOn w:val="a0"/>
    <w:rsid w:val="00196A6E"/>
  </w:style>
  <w:style w:type="character" w:customStyle="1" w:styleId="delimsizinginner">
    <w:name w:val="delimsizinginner"/>
    <w:basedOn w:val="a0"/>
    <w:rsid w:val="00756326"/>
  </w:style>
  <w:style w:type="character" w:customStyle="1" w:styleId="mpunct">
    <w:name w:val="mpunct"/>
    <w:basedOn w:val="a0"/>
    <w:rsid w:val="00756326"/>
  </w:style>
  <w:style w:type="character" w:customStyle="1" w:styleId="delimsizing">
    <w:name w:val="delimsizing"/>
    <w:basedOn w:val="a0"/>
    <w:rsid w:val="00671520"/>
  </w:style>
  <w:style w:type="character" w:customStyle="1" w:styleId="line-clamp-1">
    <w:name w:val="line-clamp-1"/>
    <w:basedOn w:val="a0"/>
    <w:rsid w:val="00737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034746">
      <w:bodyDiv w:val="1"/>
      <w:marLeft w:val="0"/>
      <w:marRight w:val="0"/>
      <w:marTop w:val="0"/>
      <w:marBottom w:val="0"/>
      <w:divBdr>
        <w:top w:val="none" w:sz="0" w:space="0" w:color="auto"/>
        <w:left w:val="none" w:sz="0" w:space="0" w:color="auto"/>
        <w:bottom w:val="none" w:sz="0" w:space="0" w:color="auto"/>
        <w:right w:val="none" w:sz="0" w:space="0" w:color="auto"/>
      </w:divBdr>
      <w:divsChild>
        <w:div w:id="2059888791">
          <w:marLeft w:val="0"/>
          <w:marRight w:val="0"/>
          <w:marTop w:val="0"/>
          <w:marBottom w:val="0"/>
          <w:divBdr>
            <w:top w:val="none" w:sz="0" w:space="0" w:color="auto"/>
            <w:left w:val="none" w:sz="0" w:space="0" w:color="auto"/>
            <w:bottom w:val="none" w:sz="0" w:space="0" w:color="auto"/>
            <w:right w:val="none" w:sz="0" w:space="0" w:color="auto"/>
          </w:divBdr>
          <w:divsChild>
            <w:div w:id="1748917771">
              <w:marLeft w:val="0"/>
              <w:marRight w:val="0"/>
              <w:marTop w:val="0"/>
              <w:marBottom w:val="0"/>
              <w:divBdr>
                <w:top w:val="none" w:sz="0" w:space="0" w:color="auto"/>
                <w:left w:val="none" w:sz="0" w:space="0" w:color="auto"/>
                <w:bottom w:val="none" w:sz="0" w:space="0" w:color="auto"/>
                <w:right w:val="none" w:sz="0" w:space="0" w:color="auto"/>
              </w:divBdr>
              <w:divsChild>
                <w:div w:id="1750495406">
                  <w:marLeft w:val="0"/>
                  <w:marRight w:val="0"/>
                  <w:marTop w:val="0"/>
                  <w:marBottom w:val="0"/>
                  <w:divBdr>
                    <w:top w:val="none" w:sz="0" w:space="0" w:color="auto"/>
                    <w:left w:val="none" w:sz="0" w:space="0" w:color="auto"/>
                    <w:bottom w:val="none" w:sz="0" w:space="0" w:color="auto"/>
                    <w:right w:val="none" w:sz="0" w:space="0" w:color="auto"/>
                  </w:divBdr>
                  <w:divsChild>
                    <w:div w:id="10843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965780">
          <w:marLeft w:val="0"/>
          <w:marRight w:val="0"/>
          <w:marTop w:val="0"/>
          <w:marBottom w:val="0"/>
          <w:divBdr>
            <w:top w:val="none" w:sz="0" w:space="0" w:color="auto"/>
            <w:left w:val="none" w:sz="0" w:space="0" w:color="auto"/>
            <w:bottom w:val="none" w:sz="0" w:space="0" w:color="auto"/>
            <w:right w:val="none" w:sz="0" w:space="0" w:color="auto"/>
          </w:divBdr>
          <w:divsChild>
            <w:div w:id="165753848">
              <w:marLeft w:val="0"/>
              <w:marRight w:val="0"/>
              <w:marTop w:val="0"/>
              <w:marBottom w:val="0"/>
              <w:divBdr>
                <w:top w:val="none" w:sz="0" w:space="0" w:color="auto"/>
                <w:left w:val="none" w:sz="0" w:space="0" w:color="auto"/>
                <w:bottom w:val="none" w:sz="0" w:space="0" w:color="auto"/>
                <w:right w:val="none" w:sz="0" w:space="0" w:color="auto"/>
              </w:divBdr>
              <w:divsChild>
                <w:div w:id="1281692043">
                  <w:marLeft w:val="0"/>
                  <w:marRight w:val="0"/>
                  <w:marTop w:val="0"/>
                  <w:marBottom w:val="0"/>
                  <w:divBdr>
                    <w:top w:val="none" w:sz="0" w:space="0" w:color="auto"/>
                    <w:left w:val="none" w:sz="0" w:space="0" w:color="auto"/>
                    <w:bottom w:val="none" w:sz="0" w:space="0" w:color="auto"/>
                    <w:right w:val="none" w:sz="0" w:space="0" w:color="auto"/>
                  </w:divBdr>
                  <w:divsChild>
                    <w:div w:id="21356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81590">
      <w:bodyDiv w:val="1"/>
      <w:marLeft w:val="0"/>
      <w:marRight w:val="0"/>
      <w:marTop w:val="0"/>
      <w:marBottom w:val="0"/>
      <w:divBdr>
        <w:top w:val="none" w:sz="0" w:space="0" w:color="auto"/>
        <w:left w:val="none" w:sz="0" w:space="0" w:color="auto"/>
        <w:bottom w:val="none" w:sz="0" w:space="0" w:color="auto"/>
        <w:right w:val="none" w:sz="0" w:space="0" w:color="auto"/>
      </w:divBdr>
      <w:divsChild>
        <w:div w:id="425541359">
          <w:marLeft w:val="0"/>
          <w:marRight w:val="0"/>
          <w:marTop w:val="0"/>
          <w:marBottom w:val="0"/>
          <w:divBdr>
            <w:top w:val="none" w:sz="0" w:space="0" w:color="auto"/>
            <w:left w:val="none" w:sz="0" w:space="0" w:color="auto"/>
            <w:bottom w:val="none" w:sz="0" w:space="0" w:color="auto"/>
            <w:right w:val="none" w:sz="0" w:space="0" w:color="auto"/>
          </w:divBdr>
          <w:divsChild>
            <w:div w:id="2071074651">
              <w:marLeft w:val="0"/>
              <w:marRight w:val="0"/>
              <w:marTop w:val="0"/>
              <w:marBottom w:val="0"/>
              <w:divBdr>
                <w:top w:val="none" w:sz="0" w:space="0" w:color="auto"/>
                <w:left w:val="none" w:sz="0" w:space="0" w:color="auto"/>
                <w:bottom w:val="none" w:sz="0" w:space="0" w:color="auto"/>
                <w:right w:val="none" w:sz="0" w:space="0" w:color="auto"/>
              </w:divBdr>
              <w:divsChild>
                <w:div w:id="779373676">
                  <w:marLeft w:val="0"/>
                  <w:marRight w:val="0"/>
                  <w:marTop w:val="0"/>
                  <w:marBottom w:val="0"/>
                  <w:divBdr>
                    <w:top w:val="none" w:sz="0" w:space="0" w:color="auto"/>
                    <w:left w:val="none" w:sz="0" w:space="0" w:color="auto"/>
                    <w:bottom w:val="none" w:sz="0" w:space="0" w:color="auto"/>
                    <w:right w:val="none" w:sz="0" w:space="0" w:color="auto"/>
                  </w:divBdr>
                  <w:divsChild>
                    <w:div w:id="11531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038900">
          <w:marLeft w:val="0"/>
          <w:marRight w:val="0"/>
          <w:marTop w:val="0"/>
          <w:marBottom w:val="0"/>
          <w:divBdr>
            <w:top w:val="none" w:sz="0" w:space="0" w:color="auto"/>
            <w:left w:val="none" w:sz="0" w:space="0" w:color="auto"/>
            <w:bottom w:val="none" w:sz="0" w:space="0" w:color="auto"/>
            <w:right w:val="none" w:sz="0" w:space="0" w:color="auto"/>
          </w:divBdr>
          <w:divsChild>
            <w:div w:id="1923294142">
              <w:marLeft w:val="0"/>
              <w:marRight w:val="0"/>
              <w:marTop w:val="0"/>
              <w:marBottom w:val="0"/>
              <w:divBdr>
                <w:top w:val="none" w:sz="0" w:space="0" w:color="auto"/>
                <w:left w:val="none" w:sz="0" w:space="0" w:color="auto"/>
                <w:bottom w:val="none" w:sz="0" w:space="0" w:color="auto"/>
                <w:right w:val="none" w:sz="0" w:space="0" w:color="auto"/>
              </w:divBdr>
              <w:divsChild>
                <w:div w:id="208424044">
                  <w:marLeft w:val="0"/>
                  <w:marRight w:val="0"/>
                  <w:marTop w:val="0"/>
                  <w:marBottom w:val="0"/>
                  <w:divBdr>
                    <w:top w:val="none" w:sz="0" w:space="0" w:color="auto"/>
                    <w:left w:val="none" w:sz="0" w:space="0" w:color="auto"/>
                    <w:bottom w:val="none" w:sz="0" w:space="0" w:color="auto"/>
                    <w:right w:val="none" w:sz="0" w:space="0" w:color="auto"/>
                  </w:divBdr>
                  <w:divsChild>
                    <w:div w:id="20868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645748">
      <w:bodyDiv w:val="1"/>
      <w:marLeft w:val="0"/>
      <w:marRight w:val="0"/>
      <w:marTop w:val="0"/>
      <w:marBottom w:val="0"/>
      <w:divBdr>
        <w:top w:val="none" w:sz="0" w:space="0" w:color="auto"/>
        <w:left w:val="none" w:sz="0" w:space="0" w:color="auto"/>
        <w:bottom w:val="none" w:sz="0" w:space="0" w:color="auto"/>
        <w:right w:val="none" w:sz="0" w:space="0" w:color="auto"/>
      </w:divBdr>
    </w:div>
    <w:div w:id="312488936">
      <w:bodyDiv w:val="1"/>
      <w:marLeft w:val="0"/>
      <w:marRight w:val="0"/>
      <w:marTop w:val="0"/>
      <w:marBottom w:val="0"/>
      <w:divBdr>
        <w:top w:val="none" w:sz="0" w:space="0" w:color="auto"/>
        <w:left w:val="none" w:sz="0" w:space="0" w:color="auto"/>
        <w:bottom w:val="none" w:sz="0" w:space="0" w:color="auto"/>
        <w:right w:val="none" w:sz="0" w:space="0" w:color="auto"/>
      </w:divBdr>
    </w:div>
    <w:div w:id="349182153">
      <w:bodyDiv w:val="1"/>
      <w:marLeft w:val="0"/>
      <w:marRight w:val="0"/>
      <w:marTop w:val="0"/>
      <w:marBottom w:val="0"/>
      <w:divBdr>
        <w:top w:val="none" w:sz="0" w:space="0" w:color="auto"/>
        <w:left w:val="none" w:sz="0" w:space="0" w:color="auto"/>
        <w:bottom w:val="none" w:sz="0" w:space="0" w:color="auto"/>
        <w:right w:val="none" w:sz="0" w:space="0" w:color="auto"/>
      </w:divBdr>
    </w:div>
    <w:div w:id="383455560">
      <w:bodyDiv w:val="1"/>
      <w:marLeft w:val="0"/>
      <w:marRight w:val="0"/>
      <w:marTop w:val="0"/>
      <w:marBottom w:val="0"/>
      <w:divBdr>
        <w:top w:val="none" w:sz="0" w:space="0" w:color="auto"/>
        <w:left w:val="none" w:sz="0" w:space="0" w:color="auto"/>
        <w:bottom w:val="none" w:sz="0" w:space="0" w:color="auto"/>
        <w:right w:val="none" w:sz="0" w:space="0" w:color="auto"/>
      </w:divBdr>
      <w:divsChild>
        <w:div w:id="31424078">
          <w:marLeft w:val="0"/>
          <w:marRight w:val="0"/>
          <w:marTop w:val="0"/>
          <w:marBottom w:val="0"/>
          <w:divBdr>
            <w:top w:val="none" w:sz="0" w:space="0" w:color="auto"/>
            <w:left w:val="none" w:sz="0" w:space="0" w:color="auto"/>
            <w:bottom w:val="none" w:sz="0" w:space="0" w:color="auto"/>
            <w:right w:val="none" w:sz="0" w:space="0" w:color="auto"/>
          </w:divBdr>
          <w:divsChild>
            <w:div w:id="764763773">
              <w:marLeft w:val="0"/>
              <w:marRight w:val="0"/>
              <w:marTop w:val="0"/>
              <w:marBottom w:val="0"/>
              <w:divBdr>
                <w:top w:val="none" w:sz="0" w:space="0" w:color="auto"/>
                <w:left w:val="none" w:sz="0" w:space="0" w:color="auto"/>
                <w:bottom w:val="none" w:sz="0" w:space="0" w:color="auto"/>
                <w:right w:val="none" w:sz="0" w:space="0" w:color="auto"/>
              </w:divBdr>
              <w:divsChild>
                <w:div w:id="932082307">
                  <w:marLeft w:val="0"/>
                  <w:marRight w:val="0"/>
                  <w:marTop w:val="0"/>
                  <w:marBottom w:val="0"/>
                  <w:divBdr>
                    <w:top w:val="none" w:sz="0" w:space="0" w:color="auto"/>
                    <w:left w:val="none" w:sz="0" w:space="0" w:color="auto"/>
                    <w:bottom w:val="none" w:sz="0" w:space="0" w:color="auto"/>
                    <w:right w:val="none" w:sz="0" w:space="0" w:color="auto"/>
                  </w:divBdr>
                  <w:divsChild>
                    <w:div w:id="972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34801">
          <w:marLeft w:val="0"/>
          <w:marRight w:val="0"/>
          <w:marTop w:val="0"/>
          <w:marBottom w:val="0"/>
          <w:divBdr>
            <w:top w:val="none" w:sz="0" w:space="0" w:color="auto"/>
            <w:left w:val="none" w:sz="0" w:space="0" w:color="auto"/>
            <w:bottom w:val="none" w:sz="0" w:space="0" w:color="auto"/>
            <w:right w:val="none" w:sz="0" w:space="0" w:color="auto"/>
          </w:divBdr>
          <w:divsChild>
            <w:div w:id="957107737">
              <w:marLeft w:val="0"/>
              <w:marRight w:val="0"/>
              <w:marTop w:val="0"/>
              <w:marBottom w:val="0"/>
              <w:divBdr>
                <w:top w:val="none" w:sz="0" w:space="0" w:color="auto"/>
                <w:left w:val="none" w:sz="0" w:space="0" w:color="auto"/>
                <w:bottom w:val="none" w:sz="0" w:space="0" w:color="auto"/>
                <w:right w:val="none" w:sz="0" w:space="0" w:color="auto"/>
              </w:divBdr>
              <w:divsChild>
                <w:div w:id="2091154612">
                  <w:marLeft w:val="0"/>
                  <w:marRight w:val="0"/>
                  <w:marTop w:val="0"/>
                  <w:marBottom w:val="0"/>
                  <w:divBdr>
                    <w:top w:val="none" w:sz="0" w:space="0" w:color="auto"/>
                    <w:left w:val="none" w:sz="0" w:space="0" w:color="auto"/>
                    <w:bottom w:val="none" w:sz="0" w:space="0" w:color="auto"/>
                    <w:right w:val="none" w:sz="0" w:space="0" w:color="auto"/>
                  </w:divBdr>
                  <w:divsChild>
                    <w:div w:id="2973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094235">
      <w:bodyDiv w:val="1"/>
      <w:marLeft w:val="0"/>
      <w:marRight w:val="0"/>
      <w:marTop w:val="0"/>
      <w:marBottom w:val="0"/>
      <w:divBdr>
        <w:top w:val="none" w:sz="0" w:space="0" w:color="auto"/>
        <w:left w:val="none" w:sz="0" w:space="0" w:color="auto"/>
        <w:bottom w:val="none" w:sz="0" w:space="0" w:color="auto"/>
        <w:right w:val="none" w:sz="0" w:space="0" w:color="auto"/>
      </w:divBdr>
    </w:div>
    <w:div w:id="694354726">
      <w:bodyDiv w:val="1"/>
      <w:marLeft w:val="0"/>
      <w:marRight w:val="0"/>
      <w:marTop w:val="0"/>
      <w:marBottom w:val="0"/>
      <w:divBdr>
        <w:top w:val="none" w:sz="0" w:space="0" w:color="auto"/>
        <w:left w:val="none" w:sz="0" w:space="0" w:color="auto"/>
        <w:bottom w:val="none" w:sz="0" w:space="0" w:color="auto"/>
        <w:right w:val="none" w:sz="0" w:space="0" w:color="auto"/>
      </w:divBdr>
    </w:div>
    <w:div w:id="902329529">
      <w:bodyDiv w:val="1"/>
      <w:marLeft w:val="0"/>
      <w:marRight w:val="0"/>
      <w:marTop w:val="0"/>
      <w:marBottom w:val="0"/>
      <w:divBdr>
        <w:top w:val="none" w:sz="0" w:space="0" w:color="auto"/>
        <w:left w:val="none" w:sz="0" w:space="0" w:color="auto"/>
        <w:bottom w:val="none" w:sz="0" w:space="0" w:color="auto"/>
        <w:right w:val="none" w:sz="0" w:space="0" w:color="auto"/>
      </w:divBdr>
      <w:divsChild>
        <w:div w:id="2008509496">
          <w:marLeft w:val="0"/>
          <w:marRight w:val="0"/>
          <w:marTop w:val="0"/>
          <w:marBottom w:val="0"/>
          <w:divBdr>
            <w:top w:val="none" w:sz="0" w:space="0" w:color="auto"/>
            <w:left w:val="none" w:sz="0" w:space="0" w:color="auto"/>
            <w:bottom w:val="none" w:sz="0" w:space="0" w:color="auto"/>
            <w:right w:val="none" w:sz="0" w:space="0" w:color="auto"/>
          </w:divBdr>
          <w:divsChild>
            <w:div w:id="1903904402">
              <w:marLeft w:val="0"/>
              <w:marRight w:val="0"/>
              <w:marTop w:val="0"/>
              <w:marBottom w:val="0"/>
              <w:divBdr>
                <w:top w:val="none" w:sz="0" w:space="0" w:color="auto"/>
                <w:left w:val="none" w:sz="0" w:space="0" w:color="auto"/>
                <w:bottom w:val="none" w:sz="0" w:space="0" w:color="auto"/>
                <w:right w:val="none" w:sz="0" w:space="0" w:color="auto"/>
              </w:divBdr>
              <w:divsChild>
                <w:div w:id="1739935886">
                  <w:marLeft w:val="0"/>
                  <w:marRight w:val="0"/>
                  <w:marTop w:val="0"/>
                  <w:marBottom w:val="0"/>
                  <w:divBdr>
                    <w:top w:val="none" w:sz="0" w:space="0" w:color="auto"/>
                    <w:left w:val="none" w:sz="0" w:space="0" w:color="auto"/>
                    <w:bottom w:val="none" w:sz="0" w:space="0" w:color="auto"/>
                    <w:right w:val="none" w:sz="0" w:space="0" w:color="auto"/>
                  </w:divBdr>
                  <w:divsChild>
                    <w:div w:id="8420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1736">
          <w:marLeft w:val="0"/>
          <w:marRight w:val="0"/>
          <w:marTop w:val="0"/>
          <w:marBottom w:val="0"/>
          <w:divBdr>
            <w:top w:val="none" w:sz="0" w:space="0" w:color="auto"/>
            <w:left w:val="none" w:sz="0" w:space="0" w:color="auto"/>
            <w:bottom w:val="none" w:sz="0" w:space="0" w:color="auto"/>
            <w:right w:val="none" w:sz="0" w:space="0" w:color="auto"/>
          </w:divBdr>
          <w:divsChild>
            <w:div w:id="1905681312">
              <w:marLeft w:val="0"/>
              <w:marRight w:val="0"/>
              <w:marTop w:val="0"/>
              <w:marBottom w:val="0"/>
              <w:divBdr>
                <w:top w:val="none" w:sz="0" w:space="0" w:color="auto"/>
                <w:left w:val="none" w:sz="0" w:space="0" w:color="auto"/>
                <w:bottom w:val="none" w:sz="0" w:space="0" w:color="auto"/>
                <w:right w:val="none" w:sz="0" w:space="0" w:color="auto"/>
              </w:divBdr>
              <w:divsChild>
                <w:div w:id="1975595428">
                  <w:marLeft w:val="0"/>
                  <w:marRight w:val="0"/>
                  <w:marTop w:val="0"/>
                  <w:marBottom w:val="0"/>
                  <w:divBdr>
                    <w:top w:val="none" w:sz="0" w:space="0" w:color="auto"/>
                    <w:left w:val="none" w:sz="0" w:space="0" w:color="auto"/>
                    <w:bottom w:val="none" w:sz="0" w:space="0" w:color="auto"/>
                    <w:right w:val="none" w:sz="0" w:space="0" w:color="auto"/>
                  </w:divBdr>
                  <w:divsChild>
                    <w:div w:id="9743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917017">
      <w:bodyDiv w:val="1"/>
      <w:marLeft w:val="0"/>
      <w:marRight w:val="0"/>
      <w:marTop w:val="0"/>
      <w:marBottom w:val="0"/>
      <w:divBdr>
        <w:top w:val="none" w:sz="0" w:space="0" w:color="auto"/>
        <w:left w:val="none" w:sz="0" w:space="0" w:color="auto"/>
        <w:bottom w:val="none" w:sz="0" w:space="0" w:color="auto"/>
        <w:right w:val="none" w:sz="0" w:space="0" w:color="auto"/>
      </w:divBdr>
      <w:divsChild>
        <w:div w:id="1363631483">
          <w:marLeft w:val="0"/>
          <w:marRight w:val="0"/>
          <w:marTop w:val="0"/>
          <w:marBottom w:val="0"/>
          <w:divBdr>
            <w:top w:val="none" w:sz="0" w:space="0" w:color="auto"/>
            <w:left w:val="none" w:sz="0" w:space="0" w:color="auto"/>
            <w:bottom w:val="none" w:sz="0" w:space="0" w:color="auto"/>
            <w:right w:val="none" w:sz="0" w:space="0" w:color="auto"/>
          </w:divBdr>
          <w:divsChild>
            <w:div w:id="206450109">
              <w:marLeft w:val="0"/>
              <w:marRight w:val="0"/>
              <w:marTop w:val="0"/>
              <w:marBottom w:val="0"/>
              <w:divBdr>
                <w:top w:val="none" w:sz="0" w:space="0" w:color="auto"/>
                <w:left w:val="none" w:sz="0" w:space="0" w:color="auto"/>
                <w:bottom w:val="none" w:sz="0" w:space="0" w:color="auto"/>
                <w:right w:val="none" w:sz="0" w:space="0" w:color="auto"/>
              </w:divBdr>
              <w:divsChild>
                <w:div w:id="18582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8270">
          <w:marLeft w:val="0"/>
          <w:marRight w:val="0"/>
          <w:marTop w:val="0"/>
          <w:marBottom w:val="0"/>
          <w:divBdr>
            <w:top w:val="none" w:sz="0" w:space="0" w:color="auto"/>
            <w:left w:val="none" w:sz="0" w:space="0" w:color="auto"/>
            <w:bottom w:val="none" w:sz="0" w:space="0" w:color="auto"/>
            <w:right w:val="none" w:sz="0" w:space="0" w:color="auto"/>
          </w:divBdr>
          <w:divsChild>
            <w:div w:id="2057778289">
              <w:marLeft w:val="0"/>
              <w:marRight w:val="0"/>
              <w:marTop w:val="0"/>
              <w:marBottom w:val="0"/>
              <w:divBdr>
                <w:top w:val="none" w:sz="0" w:space="0" w:color="auto"/>
                <w:left w:val="none" w:sz="0" w:space="0" w:color="auto"/>
                <w:bottom w:val="none" w:sz="0" w:space="0" w:color="auto"/>
                <w:right w:val="none" w:sz="0" w:space="0" w:color="auto"/>
              </w:divBdr>
              <w:divsChild>
                <w:div w:id="15889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2784">
      <w:bodyDiv w:val="1"/>
      <w:marLeft w:val="0"/>
      <w:marRight w:val="0"/>
      <w:marTop w:val="0"/>
      <w:marBottom w:val="0"/>
      <w:divBdr>
        <w:top w:val="none" w:sz="0" w:space="0" w:color="auto"/>
        <w:left w:val="none" w:sz="0" w:space="0" w:color="auto"/>
        <w:bottom w:val="none" w:sz="0" w:space="0" w:color="auto"/>
        <w:right w:val="none" w:sz="0" w:space="0" w:color="auto"/>
      </w:divBdr>
    </w:div>
    <w:div w:id="1243294323">
      <w:bodyDiv w:val="1"/>
      <w:marLeft w:val="0"/>
      <w:marRight w:val="0"/>
      <w:marTop w:val="0"/>
      <w:marBottom w:val="0"/>
      <w:divBdr>
        <w:top w:val="none" w:sz="0" w:space="0" w:color="auto"/>
        <w:left w:val="none" w:sz="0" w:space="0" w:color="auto"/>
        <w:bottom w:val="none" w:sz="0" w:space="0" w:color="auto"/>
        <w:right w:val="none" w:sz="0" w:space="0" w:color="auto"/>
      </w:divBdr>
    </w:div>
    <w:div w:id="1338387585">
      <w:bodyDiv w:val="1"/>
      <w:marLeft w:val="0"/>
      <w:marRight w:val="0"/>
      <w:marTop w:val="0"/>
      <w:marBottom w:val="0"/>
      <w:divBdr>
        <w:top w:val="none" w:sz="0" w:space="0" w:color="auto"/>
        <w:left w:val="none" w:sz="0" w:space="0" w:color="auto"/>
        <w:bottom w:val="none" w:sz="0" w:space="0" w:color="auto"/>
        <w:right w:val="none" w:sz="0" w:space="0" w:color="auto"/>
      </w:divBdr>
      <w:divsChild>
        <w:div w:id="957293683">
          <w:marLeft w:val="0"/>
          <w:marRight w:val="0"/>
          <w:marTop w:val="0"/>
          <w:marBottom w:val="0"/>
          <w:divBdr>
            <w:top w:val="none" w:sz="0" w:space="0" w:color="auto"/>
            <w:left w:val="none" w:sz="0" w:space="0" w:color="auto"/>
            <w:bottom w:val="none" w:sz="0" w:space="0" w:color="auto"/>
            <w:right w:val="none" w:sz="0" w:space="0" w:color="auto"/>
          </w:divBdr>
        </w:div>
      </w:divsChild>
    </w:div>
    <w:div w:id="1407075226">
      <w:bodyDiv w:val="1"/>
      <w:marLeft w:val="0"/>
      <w:marRight w:val="0"/>
      <w:marTop w:val="0"/>
      <w:marBottom w:val="0"/>
      <w:divBdr>
        <w:top w:val="none" w:sz="0" w:space="0" w:color="auto"/>
        <w:left w:val="none" w:sz="0" w:space="0" w:color="auto"/>
        <w:bottom w:val="none" w:sz="0" w:space="0" w:color="auto"/>
        <w:right w:val="none" w:sz="0" w:space="0" w:color="auto"/>
      </w:divBdr>
      <w:divsChild>
        <w:div w:id="132141292">
          <w:marLeft w:val="0"/>
          <w:marRight w:val="0"/>
          <w:marTop w:val="0"/>
          <w:marBottom w:val="0"/>
          <w:divBdr>
            <w:top w:val="none" w:sz="0" w:space="0" w:color="auto"/>
            <w:left w:val="none" w:sz="0" w:space="0" w:color="auto"/>
            <w:bottom w:val="none" w:sz="0" w:space="0" w:color="auto"/>
            <w:right w:val="none" w:sz="0" w:space="0" w:color="auto"/>
          </w:divBdr>
          <w:divsChild>
            <w:div w:id="472523795">
              <w:marLeft w:val="0"/>
              <w:marRight w:val="0"/>
              <w:marTop w:val="0"/>
              <w:marBottom w:val="0"/>
              <w:divBdr>
                <w:top w:val="none" w:sz="0" w:space="0" w:color="auto"/>
                <w:left w:val="none" w:sz="0" w:space="0" w:color="auto"/>
                <w:bottom w:val="none" w:sz="0" w:space="0" w:color="auto"/>
                <w:right w:val="none" w:sz="0" w:space="0" w:color="auto"/>
              </w:divBdr>
              <w:divsChild>
                <w:div w:id="1281183613">
                  <w:marLeft w:val="0"/>
                  <w:marRight w:val="0"/>
                  <w:marTop w:val="0"/>
                  <w:marBottom w:val="0"/>
                  <w:divBdr>
                    <w:top w:val="none" w:sz="0" w:space="0" w:color="auto"/>
                    <w:left w:val="none" w:sz="0" w:space="0" w:color="auto"/>
                    <w:bottom w:val="none" w:sz="0" w:space="0" w:color="auto"/>
                    <w:right w:val="none" w:sz="0" w:space="0" w:color="auto"/>
                  </w:divBdr>
                  <w:divsChild>
                    <w:div w:id="5122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5278">
          <w:marLeft w:val="0"/>
          <w:marRight w:val="0"/>
          <w:marTop w:val="0"/>
          <w:marBottom w:val="0"/>
          <w:divBdr>
            <w:top w:val="none" w:sz="0" w:space="0" w:color="auto"/>
            <w:left w:val="none" w:sz="0" w:space="0" w:color="auto"/>
            <w:bottom w:val="none" w:sz="0" w:space="0" w:color="auto"/>
            <w:right w:val="none" w:sz="0" w:space="0" w:color="auto"/>
          </w:divBdr>
          <w:divsChild>
            <w:div w:id="585186755">
              <w:marLeft w:val="0"/>
              <w:marRight w:val="0"/>
              <w:marTop w:val="0"/>
              <w:marBottom w:val="0"/>
              <w:divBdr>
                <w:top w:val="none" w:sz="0" w:space="0" w:color="auto"/>
                <w:left w:val="none" w:sz="0" w:space="0" w:color="auto"/>
                <w:bottom w:val="none" w:sz="0" w:space="0" w:color="auto"/>
                <w:right w:val="none" w:sz="0" w:space="0" w:color="auto"/>
              </w:divBdr>
              <w:divsChild>
                <w:div w:id="1208101868">
                  <w:marLeft w:val="0"/>
                  <w:marRight w:val="0"/>
                  <w:marTop w:val="0"/>
                  <w:marBottom w:val="0"/>
                  <w:divBdr>
                    <w:top w:val="none" w:sz="0" w:space="0" w:color="auto"/>
                    <w:left w:val="none" w:sz="0" w:space="0" w:color="auto"/>
                    <w:bottom w:val="none" w:sz="0" w:space="0" w:color="auto"/>
                    <w:right w:val="none" w:sz="0" w:space="0" w:color="auto"/>
                  </w:divBdr>
                  <w:divsChild>
                    <w:div w:id="1381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198316">
      <w:bodyDiv w:val="1"/>
      <w:marLeft w:val="0"/>
      <w:marRight w:val="0"/>
      <w:marTop w:val="0"/>
      <w:marBottom w:val="0"/>
      <w:divBdr>
        <w:top w:val="none" w:sz="0" w:space="0" w:color="auto"/>
        <w:left w:val="none" w:sz="0" w:space="0" w:color="auto"/>
        <w:bottom w:val="none" w:sz="0" w:space="0" w:color="auto"/>
        <w:right w:val="none" w:sz="0" w:space="0" w:color="auto"/>
      </w:divBdr>
    </w:div>
    <w:div w:id="1906529080">
      <w:bodyDiv w:val="1"/>
      <w:marLeft w:val="0"/>
      <w:marRight w:val="0"/>
      <w:marTop w:val="0"/>
      <w:marBottom w:val="0"/>
      <w:divBdr>
        <w:top w:val="none" w:sz="0" w:space="0" w:color="auto"/>
        <w:left w:val="none" w:sz="0" w:space="0" w:color="auto"/>
        <w:bottom w:val="none" w:sz="0" w:space="0" w:color="auto"/>
        <w:right w:val="none" w:sz="0" w:space="0" w:color="auto"/>
      </w:divBdr>
    </w:div>
    <w:div w:id="1985351834">
      <w:bodyDiv w:val="1"/>
      <w:marLeft w:val="0"/>
      <w:marRight w:val="0"/>
      <w:marTop w:val="0"/>
      <w:marBottom w:val="0"/>
      <w:divBdr>
        <w:top w:val="none" w:sz="0" w:space="0" w:color="auto"/>
        <w:left w:val="none" w:sz="0" w:space="0" w:color="auto"/>
        <w:bottom w:val="none" w:sz="0" w:space="0" w:color="auto"/>
        <w:right w:val="none" w:sz="0" w:space="0" w:color="auto"/>
      </w:divBdr>
    </w:div>
    <w:div w:id="1986279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3998</TotalTime>
  <Pages>14</Pages>
  <Words>2198</Words>
  <Characters>12533</Characters>
  <Application>Microsoft Office Word</Application>
  <DocSecurity>0</DocSecurity>
  <Lines>104</Lines>
  <Paragraphs>29</Paragraphs>
  <ScaleCrop>false</ScaleCrop>
  <Company/>
  <LinksUpToDate>false</LinksUpToDate>
  <CharactersWithSpaces>14702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柴崎　陸</dc:creator>
  <cp:keywords/>
  <dc:description/>
  <cp:lastModifiedBy>柴崎　陸</cp:lastModifiedBy>
  <cp:revision>56</cp:revision>
  <dcterms:created xsi:type="dcterms:W3CDTF">2024-06-22T10:31:00Z</dcterms:created>
  <dcterms:modified xsi:type="dcterms:W3CDTF">2024-06-25T05:09:00Z</dcterms:modified>
</cp:coreProperties>
</file>