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№тест1111тест1111</w:t>
        <w:br/>
        <w:t>сроком с 11.11.1111 по 22.22.2222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№2024.12.25\SFB\001 от 25.12.2024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Фитинг пневматический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KQH06-01S-XLN01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воздух, вакуум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Макс. рабочее давление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+5 ~ +60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соединение (мм)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R1/8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