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BUSINESS INSIGHTS REPORT</w:t>
      </w:r>
    </w:p>
    <w:p>
      <w:pPr>
        <w:spacing w:after="80"/>
      </w:pPr>
      <w:r>
        <w:rPr>
          <w:i/>
          <w:iCs/>
          <w:sz w:val="26"/>
          <w:szCs w:val="26"/>
        </w:rPr>
        <w:t xml:space="preserve">Local Business &amp; Digital Opportunity Analysis — Kurukshetra</w:t>
      </w:r>
    </w:p>
    <w:p>
      <w:pPr>
        <w:spacing w:after="200"/>
      </w:pPr>
      <w:r>
        <w:rPr>
          <w:i/>
          <w:iCs/>
          <w:color w:val="666666"/>
          <w:sz w:val="22"/>
          <w:szCs w:val="22"/>
        </w:rPr>
        <w:t xml:space="preserve">Google Maps Business Intelligence &amp; Digital Opportunity Analysis</w:t>
      </w:r>
    </w:p>
    <w:p>
      <w:pPr>
        <w:spacing w:after="200"/>
      </w:pPr>
      <w:r>
        <w:rPr>
          <w:sz w:val="20"/>
          <w:szCs w:val="20"/>
        </w:rPr>
        <w:t xml:space="preserve">Prepared by: Saransh Gupta    |    Date: July 3, 2026</w:t>
      </w:r>
    </w:p>
    <w:p>
      <w:pPr>
        <w:pBdr>
          <w:bottom w:val="single" w:color="999999" w:sz="6" w:space="1"/>
        </w:pBdr>
        <w:spacing w:after="200"/>
      </w:pPr>
    </w:p>
    <w:p>
      <w:pPr>
        <w:pStyle w:val="Heading1"/>
        <w:spacing w:after="150" w:before="300"/>
      </w:pPr>
      <w:r>
        <w:t xml:space="preserve">Executive Summary</w:t>
      </w:r>
    </w:p>
    <w:p>
      <w:pPr>
        <w:spacing w:after="150"/>
      </w:pPr>
      <w:r>
        <w:t xml:space="preserve">This report analyzes 678 local businesses in Kurukshetra collected from Google Maps across six sectors: Cafe &amp; Restaurant, Shopping &amp; Retail, Salon &amp; Beauty, Fitness &amp; Sports, Property, and Medical &amp; Health. Each business was scored for digital opportunity based on its rating, review volume, and website/contact availability.</w:t>
      </w:r>
    </w:p>
    <w:p>
      <w:pPr>
        <w:spacing w:after="150"/>
      </w:pPr>
      <w:r>
        <w:t xml:space="preserve">The dashboard shows that 338 businesses (49.85%) fall into the Critical Opportunity category — meaning they have no website or listed phone number despite strong customer ratings. A further 185 businesses (27.29%) have reached a High Transformation Lead stage of digital presence, while 155 (22.86%) sit in a Medium Growth Lead stage. Separately, 666 businesses (98.23%) have no website listed at all, and 343 (50.59%) have no phone number listed.</w:t>
      </w:r>
    </w:p>
    <w:p>
      <w:pPr>
        <w:pStyle w:val="Heading1"/>
        <w:spacing w:after="150" w:before="300"/>
      </w:pPr>
      <w:r>
        <w:t xml:space="preserve">Key Metrics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1880"/>
        <w:gridCol w:w="1880"/>
      </w:tblGrid>
      <w:tr>
        <w:tc>
          <w:tcPr>
            <w:tcW w:type="dxa" w:w="1880"/>
            <w:shd w:fill="DCE6F1" w:val="clear"/>
            <w:tcMar>
              <w:top w:type="dxa" w:w="150"/>
              <w:left w:type="dxa" w:w="60"/>
              <w:bottom w:type="dxa" w:w="150"/>
              <w:right w:type="dxa" w:w="60"/>
            </w:tcMar>
          </w:tcPr>
          <w:p>
            <w:pPr>
              <w:jc w:val="center"/>
            </w:pPr>
            <w:r>
              <w:rPr>
                <w:b/>
                <w:bCs/>
                <w:color w:val="1F3864"/>
                <w:sz w:val="32"/>
                <w:szCs w:val="32"/>
              </w:rPr>
              <w:t xml:space="preserve">678</w:t>
            </w:r>
          </w:p>
          <w:p>
            <w:pPr>
              <w:jc w:val="center"/>
            </w:pPr>
            <w:r>
              <w:rPr>
                <w:sz w:val="16"/>
                <w:szCs w:val="16"/>
              </w:rPr>
              <w:t xml:space="preserve">Total Businesses</w:t>
            </w:r>
          </w:p>
        </w:tc>
        <w:tc>
          <w:tcPr>
            <w:tcW w:type="dxa" w:w="1880"/>
            <w:shd w:fill="DCE6F1" w:val="clear"/>
            <w:tcMar>
              <w:top w:type="dxa" w:w="150"/>
              <w:left w:type="dxa" w:w="60"/>
              <w:bottom w:type="dxa" w:w="150"/>
              <w:right w:type="dxa" w:w="60"/>
            </w:tcMar>
          </w:tcPr>
          <w:p>
            <w:pPr>
              <w:jc w:val="center"/>
            </w:pPr>
            <w:r>
              <w:rPr>
                <w:b/>
                <w:bCs/>
                <w:color w:val="1F3864"/>
                <w:sz w:val="32"/>
                <w:szCs w:val="32"/>
              </w:rPr>
              <w:t xml:space="preserve">4.51</w:t>
            </w:r>
          </w:p>
          <w:p>
            <w:pPr>
              <w:jc w:val="center"/>
            </w:pPr>
            <w:r>
              <w:rPr>
                <w:sz w:val="16"/>
                <w:szCs w:val="16"/>
              </w:rPr>
              <w:t xml:space="preserve">Average Rating</w:t>
            </w:r>
          </w:p>
        </w:tc>
        <w:tc>
          <w:tcPr>
            <w:tcW w:type="dxa" w:w="1880"/>
            <w:shd w:fill="DCE6F1" w:val="clear"/>
            <w:tcMar>
              <w:top w:type="dxa" w:w="150"/>
              <w:left w:type="dxa" w:w="60"/>
              <w:bottom w:type="dxa" w:w="150"/>
              <w:right w:type="dxa" w:w="60"/>
            </w:tcMar>
          </w:tcPr>
          <w:p>
            <w:pPr>
              <w:jc w:val="center"/>
            </w:pPr>
            <w:r>
              <w:rPr>
                <w:b/>
                <w:bCs/>
                <w:color w:val="1F3864"/>
                <w:sz w:val="32"/>
                <w:szCs w:val="32"/>
              </w:rPr>
              <w:t xml:space="preserve">128,063</w:t>
            </w:r>
          </w:p>
          <w:p>
            <w:pPr>
              <w:jc w:val="center"/>
            </w:pPr>
            <w:r>
              <w:rPr>
                <w:sz w:val="16"/>
                <w:szCs w:val="16"/>
              </w:rPr>
              <w:t xml:space="preserve">Total Reviews</w:t>
            </w:r>
          </w:p>
        </w:tc>
        <w:tc>
          <w:tcPr>
            <w:tcW w:type="dxa" w:w="1880"/>
            <w:shd w:fill="DCE6F1" w:val="clear"/>
            <w:tcMar>
              <w:top w:type="dxa" w:w="150"/>
              <w:left w:type="dxa" w:w="60"/>
              <w:bottom w:type="dxa" w:w="150"/>
              <w:right w:type="dxa" w:w="60"/>
            </w:tcMar>
          </w:tcPr>
          <w:p>
            <w:pPr>
              <w:jc w:val="center"/>
            </w:pPr>
            <w:r>
              <w:rPr>
                <w:b/>
                <w:bCs/>
                <w:color w:val="1F3864"/>
                <w:sz w:val="32"/>
                <w:szCs w:val="32"/>
              </w:rPr>
              <w:t xml:space="preserve">338</w:t>
            </w:r>
          </w:p>
          <w:p>
            <w:pPr>
              <w:jc w:val="center"/>
            </w:pPr>
            <w:r>
              <w:rPr>
                <w:sz w:val="16"/>
                <w:szCs w:val="16"/>
              </w:rPr>
              <w:t xml:space="preserve">Critical Opportunities</w:t>
            </w:r>
          </w:p>
        </w:tc>
        <w:tc>
          <w:tcPr>
            <w:tcW w:type="dxa" w:w="1880"/>
            <w:shd w:fill="DCE6F1" w:val="clear"/>
            <w:tcMar>
              <w:top w:type="dxa" w:w="150"/>
              <w:left w:type="dxa" w:w="60"/>
              <w:bottom w:type="dxa" w:w="150"/>
              <w:right w:type="dxa" w:w="60"/>
            </w:tcMar>
          </w:tcPr>
          <w:p>
            <w:pPr>
              <w:jc w:val="center"/>
            </w:pPr>
            <w:r>
              <w:rPr>
                <w:b/>
                <w:bCs/>
                <w:color w:val="1F3864"/>
                <w:sz w:val="32"/>
                <w:szCs w:val="32"/>
              </w:rPr>
              <w:t xml:space="preserve">185</w:t>
            </w:r>
          </w:p>
          <w:p>
            <w:pPr>
              <w:jc w:val="center"/>
            </w:pPr>
            <w:r>
              <w:rPr>
                <w:sz w:val="16"/>
                <w:szCs w:val="16"/>
              </w:rPr>
              <w:t xml:space="preserve">High Transformation</w:t>
            </w:r>
          </w:p>
        </w:tc>
      </w:tr>
    </w:tbl>
    <w:p>
      <w:pPr>
        <w:spacing w:after="200"/>
      </w:pPr>
    </w:p>
    <w:p>
      <w:pPr>
        <w:pStyle w:val="Heading1"/>
        <w:spacing w:after="150" w:before="300"/>
      </w:pPr>
      <w:r>
        <w:t xml:space="preserve">Business Distribution by Sector</w:t>
      </w:r>
    </w:p>
    <w:p>
      <w:pPr>
        <w:spacing w:after="150"/>
      </w:pPr>
      <w:r>
        <w:t xml:space="preserve">Figures below are taken directly from the Sector Analysis dashboard page.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shd w:fill="1F3864" w:val="clear"/>
            <w:tcMar>
              <w:top w:type="dxa" w:w="80"/>
              <w:left w:type="dxa" w:w="100"/>
              <w:bottom w:type="dxa" w:w="80"/>
              <w:right w:type="dxa" w:w="100"/>
            </w:tcMar>
          </w:tcPr>
          <w:p>
            <w:pPr>
              <w:jc w:val="center"/>
            </w:pPr>
            <w:r>
              <w:rPr>
                <w:b/>
                <w:bCs/>
                <w:color w:val="FFFFFF"/>
              </w:rPr>
              <w:t xml:space="preserve">Sector</w:t>
            </w:r>
          </w:p>
        </w:tc>
        <w:tc>
          <w:tcPr>
            <w:tcW w:type="dxa" w:w="2000"/>
            <w:shd w:fill="1F3864" w:val="clear"/>
            <w:tcMar>
              <w:top w:type="dxa" w:w="80"/>
              <w:left w:type="dxa" w:w="100"/>
              <w:bottom w:type="dxa" w:w="80"/>
              <w:right w:type="dxa" w:w="100"/>
            </w:tcMar>
          </w:tcPr>
          <w:p>
            <w:pPr>
              <w:jc w:val="center"/>
            </w:pPr>
            <w:r>
              <w:rPr>
                <w:b/>
                <w:bCs/>
                <w:color w:val="FFFFFF"/>
              </w:rPr>
              <w:t xml:space="preserve">Business Count</w:t>
            </w:r>
          </w:p>
        </w:tc>
        <w:tc>
          <w:tcPr>
            <w:tcW w:type="dxa" w:w="2000"/>
            <w:shd w:fill="1F3864" w:val="clear"/>
            <w:tcMar>
              <w:top w:type="dxa" w:w="80"/>
              <w:left w:type="dxa" w:w="100"/>
              <w:bottom w:type="dxa" w:w="80"/>
              <w:right w:type="dxa" w:w="100"/>
            </w:tcMar>
          </w:tcPr>
          <w:p>
            <w:pPr>
              <w:jc w:val="center"/>
            </w:pPr>
            <w:r>
              <w:rPr>
                <w:b/>
                <w:bCs/>
                <w:color w:val="FFFFFF"/>
              </w:rPr>
              <w:t xml:space="preserve">Avg. Rating</w:t>
            </w:r>
          </w:p>
        </w:tc>
        <w:tc>
          <w:tcPr>
            <w:tcW w:type="dxa" w:w="2000"/>
            <w:shd w:fill="1F3864" w:val="clear"/>
            <w:tcMar>
              <w:top w:type="dxa" w:w="80"/>
              <w:left w:type="dxa" w:w="100"/>
              <w:bottom w:type="dxa" w:w="80"/>
              <w:right w:type="dxa" w:w="100"/>
            </w:tcMar>
          </w:tcPr>
          <w:p>
            <w:pPr>
              <w:jc w:val="center"/>
            </w:pPr>
            <w:r>
              <w:rPr>
                <w:b/>
                <w:bCs/>
                <w:color w:val="FFFFFF"/>
              </w:rPr>
              <w:t xml:space="preserve">Total Reviews</w:t>
            </w:r>
          </w:p>
        </w:tc>
      </w:tr>
      <w:tr>
        <w:tc>
          <w:tcPr>
            <w:tcW w:type="dxa" w:w="3400"/>
            <w:tcMar>
              <w:top w:type="dxa" w:w="80"/>
              <w:left w:type="dxa" w:w="100"/>
              <w:bottom w:type="dxa" w:w="80"/>
              <w:right w:type="dxa" w:w="100"/>
            </w:tcMar>
          </w:tcPr>
          <w:p>
            <w:pPr>
              <w:jc w:val="left"/>
            </w:pPr>
            <w:r>
              <w:rPr>
                <w:b w:val="false"/>
                <w:bCs w:val="false"/>
              </w:rPr>
              <w:t xml:space="preserve">Cafe &amp; Restaurant</w:t>
            </w:r>
          </w:p>
        </w:tc>
        <w:tc>
          <w:tcPr>
            <w:tcW w:type="dxa" w:w="2000"/>
            <w:tcMar>
              <w:top w:type="dxa" w:w="80"/>
              <w:left w:type="dxa" w:w="100"/>
              <w:bottom w:type="dxa" w:w="80"/>
              <w:right w:type="dxa" w:w="100"/>
            </w:tcMar>
          </w:tcPr>
          <w:p>
            <w:pPr>
              <w:jc w:val="center"/>
            </w:pPr>
            <w:r>
              <w:rPr>
                <w:b w:val="false"/>
                <w:bCs w:val="false"/>
              </w:rPr>
              <w:t xml:space="preserve">158</w:t>
            </w:r>
          </w:p>
        </w:tc>
        <w:tc>
          <w:tcPr>
            <w:tcW w:type="dxa" w:w="2000"/>
            <w:tcMar>
              <w:top w:type="dxa" w:w="80"/>
              <w:left w:type="dxa" w:w="100"/>
              <w:bottom w:type="dxa" w:w="80"/>
              <w:right w:type="dxa" w:w="100"/>
            </w:tcMar>
          </w:tcPr>
          <w:p>
            <w:pPr>
              <w:jc w:val="center"/>
            </w:pPr>
            <w:r>
              <w:rPr>
                <w:b w:val="false"/>
                <w:bCs w:val="false"/>
              </w:rPr>
              <w:t xml:space="preserve">4.41</w:t>
            </w:r>
          </w:p>
        </w:tc>
        <w:tc>
          <w:tcPr>
            <w:tcW w:type="dxa" w:w="2000"/>
            <w:tcMar>
              <w:top w:type="dxa" w:w="80"/>
              <w:left w:type="dxa" w:w="100"/>
              <w:bottom w:type="dxa" w:w="80"/>
              <w:right w:type="dxa" w:w="100"/>
            </w:tcMar>
          </w:tcPr>
          <w:p>
            <w:pPr>
              <w:jc w:val="center"/>
            </w:pPr>
            <w:r>
              <w:rPr>
                <w:b w:val="false"/>
                <w:bCs w:val="false"/>
              </w:rPr>
              <w:t xml:space="preserve">84,066</w:t>
            </w:r>
          </w:p>
        </w:tc>
      </w:tr>
      <w:tr>
        <w:tc>
          <w:tcPr>
            <w:tcW w:type="dxa" w:w="3400"/>
            <w:shd w:fill="F2F2F2" w:val="clear"/>
            <w:tcMar>
              <w:top w:type="dxa" w:w="80"/>
              <w:left w:type="dxa" w:w="100"/>
              <w:bottom w:type="dxa" w:w="80"/>
              <w:right w:type="dxa" w:w="100"/>
            </w:tcMar>
          </w:tcPr>
          <w:p>
            <w:pPr>
              <w:jc w:val="left"/>
            </w:pPr>
            <w:r>
              <w:rPr>
                <w:b w:val="false"/>
                <w:bCs w:val="false"/>
              </w:rPr>
              <w:t xml:space="preserve">Shopping &amp; Retail</w:t>
            </w:r>
          </w:p>
        </w:tc>
        <w:tc>
          <w:tcPr>
            <w:tcW w:type="dxa" w:w="2000"/>
            <w:shd w:fill="F2F2F2" w:val="clear"/>
            <w:tcMar>
              <w:top w:type="dxa" w:w="80"/>
              <w:left w:type="dxa" w:w="100"/>
              <w:bottom w:type="dxa" w:w="80"/>
              <w:right w:type="dxa" w:w="100"/>
            </w:tcMar>
          </w:tcPr>
          <w:p>
            <w:pPr>
              <w:jc w:val="center"/>
            </w:pPr>
            <w:r>
              <w:rPr>
                <w:b w:val="false"/>
                <w:bCs w:val="false"/>
              </w:rPr>
              <w:t xml:space="preserve">311</w:t>
            </w:r>
          </w:p>
        </w:tc>
        <w:tc>
          <w:tcPr>
            <w:tcW w:type="dxa" w:w="2000"/>
            <w:shd w:fill="F2F2F2" w:val="clear"/>
            <w:tcMar>
              <w:top w:type="dxa" w:w="80"/>
              <w:left w:type="dxa" w:w="100"/>
              <w:bottom w:type="dxa" w:w="80"/>
              <w:right w:type="dxa" w:w="100"/>
            </w:tcMar>
          </w:tcPr>
          <w:p>
            <w:pPr>
              <w:jc w:val="center"/>
            </w:pPr>
            <w:r>
              <w:rPr>
                <w:b w:val="false"/>
                <w:bCs w:val="false"/>
              </w:rPr>
              <w:t xml:space="preserve">4.50</w:t>
            </w:r>
          </w:p>
        </w:tc>
        <w:tc>
          <w:tcPr>
            <w:tcW w:type="dxa" w:w="2000"/>
            <w:shd w:fill="F2F2F2" w:val="clear"/>
            <w:tcMar>
              <w:top w:type="dxa" w:w="80"/>
              <w:left w:type="dxa" w:w="100"/>
              <w:bottom w:type="dxa" w:w="80"/>
              <w:right w:type="dxa" w:w="100"/>
            </w:tcMar>
          </w:tcPr>
          <w:p>
            <w:pPr>
              <w:jc w:val="center"/>
            </w:pPr>
            <w:r>
              <w:rPr>
                <w:b w:val="false"/>
                <w:bCs w:val="false"/>
              </w:rPr>
              <w:t xml:space="preserve">25,640</w:t>
            </w:r>
          </w:p>
        </w:tc>
      </w:tr>
      <w:tr>
        <w:tc>
          <w:tcPr>
            <w:tcW w:type="dxa" w:w="3400"/>
            <w:tcMar>
              <w:top w:type="dxa" w:w="80"/>
              <w:left w:type="dxa" w:w="100"/>
              <w:bottom w:type="dxa" w:w="80"/>
              <w:right w:type="dxa" w:w="100"/>
            </w:tcMar>
          </w:tcPr>
          <w:p>
            <w:pPr>
              <w:jc w:val="left"/>
            </w:pPr>
            <w:r>
              <w:rPr>
                <w:b w:val="false"/>
                <w:bCs w:val="false"/>
              </w:rPr>
              <w:t xml:space="preserve">Salon &amp; Beauty</w:t>
            </w:r>
          </w:p>
        </w:tc>
        <w:tc>
          <w:tcPr>
            <w:tcW w:type="dxa" w:w="2000"/>
            <w:tcMar>
              <w:top w:type="dxa" w:w="80"/>
              <w:left w:type="dxa" w:w="100"/>
              <w:bottom w:type="dxa" w:w="80"/>
              <w:right w:type="dxa" w:w="100"/>
            </w:tcMar>
          </w:tcPr>
          <w:p>
            <w:pPr>
              <w:jc w:val="center"/>
            </w:pPr>
            <w:r>
              <w:rPr>
                <w:b w:val="false"/>
                <w:bCs w:val="false"/>
              </w:rPr>
              <w:t xml:space="preserve">96</w:t>
            </w:r>
          </w:p>
        </w:tc>
        <w:tc>
          <w:tcPr>
            <w:tcW w:type="dxa" w:w="2000"/>
            <w:tcMar>
              <w:top w:type="dxa" w:w="80"/>
              <w:left w:type="dxa" w:w="100"/>
              <w:bottom w:type="dxa" w:w="80"/>
              <w:right w:type="dxa" w:w="100"/>
            </w:tcMar>
          </w:tcPr>
          <w:p>
            <w:pPr>
              <w:jc w:val="center"/>
            </w:pPr>
            <w:r>
              <w:rPr>
                <w:b w:val="false"/>
                <w:bCs w:val="false"/>
              </w:rPr>
              <w:t xml:space="preserve">4.66</w:t>
            </w:r>
          </w:p>
        </w:tc>
        <w:tc>
          <w:tcPr>
            <w:tcW w:type="dxa" w:w="2000"/>
            <w:tcMar>
              <w:top w:type="dxa" w:w="80"/>
              <w:left w:type="dxa" w:w="100"/>
              <w:bottom w:type="dxa" w:w="80"/>
              <w:right w:type="dxa" w:w="100"/>
            </w:tcMar>
          </w:tcPr>
          <w:p>
            <w:pPr>
              <w:jc w:val="center"/>
            </w:pPr>
            <w:r>
              <w:rPr>
                <w:b w:val="false"/>
                <w:bCs w:val="false"/>
              </w:rPr>
              <w:t xml:space="preserve">8,930</w:t>
            </w:r>
          </w:p>
        </w:tc>
      </w:tr>
      <w:tr>
        <w:tc>
          <w:tcPr>
            <w:tcW w:type="dxa" w:w="3400"/>
            <w:shd w:fill="F2F2F2" w:val="clear"/>
            <w:tcMar>
              <w:top w:type="dxa" w:w="80"/>
              <w:left w:type="dxa" w:w="100"/>
              <w:bottom w:type="dxa" w:w="80"/>
              <w:right w:type="dxa" w:w="100"/>
            </w:tcMar>
          </w:tcPr>
          <w:p>
            <w:pPr>
              <w:jc w:val="left"/>
            </w:pPr>
            <w:r>
              <w:rPr>
                <w:b w:val="false"/>
                <w:bCs w:val="false"/>
              </w:rPr>
              <w:t xml:space="preserve">Fitness &amp; Sports</w:t>
            </w:r>
          </w:p>
        </w:tc>
        <w:tc>
          <w:tcPr>
            <w:tcW w:type="dxa" w:w="2000"/>
            <w:shd w:fill="F2F2F2" w:val="clear"/>
            <w:tcMar>
              <w:top w:type="dxa" w:w="80"/>
              <w:left w:type="dxa" w:w="100"/>
              <w:bottom w:type="dxa" w:w="80"/>
              <w:right w:type="dxa" w:w="100"/>
            </w:tcMar>
          </w:tcPr>
          <w:p>
            <w:pPr>
              <w:jc w:val="center"/>
            </w:pPr>
            <w:r>
              <w:rPr>
                <w:b w:val="false"/>
                <w:bCs w:val="false"/>
              </w:rPr>
              <w:t xml:space="preserve">56</w:t>
            </w:r>
          </w:p>
        </w:tc>
        <w:tc>
          <w:tcPr>
            <w:tcW w:type="dxa" w:w="2000"/>
            <w:shd w:fill="F2F2F2" w:val="clear"/>
            <w:tcMar>
              <w:top w:type="dxa" w:w="80"/>
              <w:left w:type="dxa" w:w="100"/>
              <w:bottom w:type="dxa" w:w="80"/>
              <w:right w:type="dxa" w:w="100"/>
            </w:tcMar>
          </w:tcPr>
          <w:p>
            <w:pPr>
              <w:jc w:val="center"/>
            </w:pPr>
            <w:r>
              <w:rPr>
                <w:b w:val="false"/>
                <w:bCs w:val="false"/>
              </w:rPr>
              <w:t xml:space="preserve">4.65</w:t>
            </w:r>
          </w:p>
        </w:tc>
        <w:tc>
          <w:tcPr>
            <w:tcW w:type="dxa" w:w="2000"/>
            <w:shd w:fill="F2F2F2" w:val="clear"/>
            <w:tcMar>
              <w:top w:type="dxa" w:w="80"/>
              <w:left w:type="dxa" w:w="100"/>
              <w:bottom w:type="dxa" w:w="80"/>
              <w:right w:type="dxa" w:w="100"/>
            </w:tcMar>
          </w:tcPr>
          <w:p>
            <w:pPr>
              <w:jc w:val="center"/>
            </w:pPr>
            <w:r>
              <w:rPr>
                <w:b w:val="false"/>
                <w:bCs w:val="false"/>
              </w:rPr>
              <w:t xml:space="preserve">5,597</w:t>
            </w:r>
          </w:p>
        </w:tc>
      </w:tr>
      <w:tr>
        <w:tc>
          <w:tcPr>
            <w:tcW w:type="dxa" w:w="3400"/>
            <w:tcMar>
              <w:top w:type="dxa" w:w="80"/>
              <w:left w:type="dxa" w:w="100"/>
              <w:bottom w:type="dxa" w:w="80"/>
              <w:right w:type="dxa" w:w="100"/>
            </w:tcMar>
          </w:tcPr>
          <w:p>
            <w:pPr>
              <w:jc w:val="left"/>
            </w:pPr>
            <w:r>
              <w:rPr>
                <w:b w:val="false"/>
                <w:bCs w:val="false"/>
              </w:rPr>
              <w:t xml:space="preserve">Property</w:t>
            </w:r>
          </w:p>
        </w:tc>
        <w:tc>
          <w:tcPr>
            <w:tcW w:type="dxa" w:w="2000"/>
            <w:tcMar>
              <w:top w:type="dxa" w:w="80"/>
              <w:left w:type="dxa" w:w="100"/>
              <w:bottom w:type="dxa" w:w="80"/>
              <w:right w:type="dxa" w:w="100"/>
            </w:tcMar>
          </w:tcPr>
          <w:p>
            <w:pPr>
              <w:jc w:val="center"/>
            </w:pPr>
            <w:r>
              <w:rPr>
                <w:b w:val="false"/>
                <w:bCs w:val="false"/>
              </w:rPr>
              <w:t xml:space="preserve">53</w:t>
            </w:r>
          </w:p>
        </w:tc>
        <w:tc>
          <w:tcPr>
            <w:tcW w:type="dxa" w:w="2000"/>
            <w:tcMar>
              <w:top w:type="dxa" w:w="80"/>
              <w:left w:type="dxa" w:w="100"/>
              <w:bottom w:type="dxa" w:w="80"/>
              <w:right w:type="dxa" w:w="100"/>
            </w:tcMar>
          </w:tcPr>
          <w:p>
            <w:pPr>
              <w:jc w:val="center"/>
            </w:pPr>
            <w:r>
              <w:rPr>
                <w:b w:val="false"/>
                <w:bCs w:val="false"/>
              </w:rPr>
              <w:t xml:space="preserve">4.43</w:t>
            </w:r>
          </w:p>
        </w:tc>
        <w:tc>
          <w:tcPr>
            <w:tcW w:type="dxa" w:w="2000"/>
            <w:tcMar>
              <w:top w:type="dxa" w:w="80"/>
              <w:left w:type="dxa" w:w="100"/>
              <w:bottom w:type="dxa" w:w="80"/>
              <w:right w:type="dxa" w:w="100"/>
            </w:tcMar>
          </w:tcPr>
          <w:p>
            <w:pPr>
              <w:jc w:val="center"/>
            </w:pPr>
            <w:r>
              <w:rPr>
                <w:b w:val="false"/>
                <w:bCs w:val="false"/>
              </w:rPr>
              <w:t xml:space="preserve">2,658</w:t>
            </w:r>
          </w:p>
        </w:tc>
      </w:tr>
      <w:tr>
        <w:tc>
          <w:tcPr>
            <w:tcW w:type="dxa" w:w="3400"/>
            <w:shd w:fill="F2F2F2" w:val="clear"/>
            <w:tcMar>
              <w:top w:type="dxa" w:w="80"/>
              <w:left w:type="dxa" w:w="100"/>
              <w:bottom w:type="dxa" w:w="80"/>
              <w:right w:type="dxa" w:w="100"/>
            </w:tcMar>
          </w:tcPr>
          <w:p>
            <w:pPr>
              <w:jc w:val="left"/>
            </w:pPr>
            <w:r>
              <w:rPr>
                <w:b w:val="false"/>
                <w:bCs w:val="false"/>
              </w:rPr>
              <w:t xml:space="preserve">Medical &amp; Health</w:t>
            </w:r>
          </w:p>
        </w:tc>
        <w:tc>
          <w:tcPr>
            <w:tcW w:type="dxa" w:w="2000"/>
            <w:shd w:fill="F2F2F2" w:val="clear"/>
            <w:tcMar>
              <w:top w:type="dxa" w:w="80"/>
              <w:left w:type="dxa" w:w="100"/>
              <w:bottom w:type="dxa" w:w="80"/>
              <w:right w:type="dxa" w:w="100"/>
            </w:tcMar>
          </w:tcPr>
          <w:p>
            <w:pPr>
              <w:jc w:val="center"/>
            </w:pPr>
            <w:r>
              <w:rPr>
                <w:b w:val="false"/>
                <w:bCs w:val="false"/>
              </w:rPr>
              <w:t xml:space="preserve">4</w:t>
            </w:r>
          </w:p>
        </w:tc>
        <w:tc>
          <w:tcPr>
            <w:tcW w:type="dxa" w:w="2000"/>
            <w:shd w:fill="F2F2F2" w:val="clear"/>
            <w:tcMar>
              <w:top w:type="dxa" w:w="80"/>
              <w:left w:type="dxa" w:w="100"/>
              <w:bottom w:type="dxa" w:w="80"/>
              <w:right w:type="dxa" w:w="100"/>
            </w:tcMar>
          </w:tcPr>
          <w:p>
            <w:pPr>
              <w:jc w:val="center"/>
            </w:pPr>
            <w:r>
              <w:rPr>
                <w:b w:val="false"/>
                <w:bCs w:val="false"/>
              </w:rPr>
              <w:t xml:space="preserve">4.20</w:t>
            </w:r>
          </w:p>
        </w:tc>
        <w:tc>
          <w:tcPr>
            <w:tcW w:type="dxa" w:w="2000"/>
            <w:shd w:fill="F2F2F2" w:val="clear"/>
            <w:tcMar>
              <w:top w:type="dxa" w:w="80"/>
              <w:left w:type="dxa" w:w="100"/>
              <w:bottom w:type="dxa" w:w="80"/>
              <w:right w:type="dxa" w:w="100"/>
            </w:tcMar>
          </w:tcPr>
          <w:p>
            <w:pPr>
              <w:jc w:val="center"/>
            </w:pPr>
            <w:r>
              <w:rPr>
                <w:b w:val="false"/>
                <w:bCs w:val="false"/>
              </w:rPr>
              <w:t xml:space="preserve">1,172</w:t>
            </w:r>
          </w:p>
        </w:tc>
      </w:tr>
    </w:tbl>
    <w:p>
      <w:pPr>
        <w:spacing w:after="150"/>
      </w:pPr>
    </w:p>
    <w:p>
      <w:pPr>
        <w:spacing w:after="150"/>
      </w:pPr>
      <w:r>
        <w:t xml:space="preserve">Shopping &amp; Retail (311) is by far the largest sector by business count, followed by Cafe &amp; Restaurant (158) — together the two sectors account for 469 of 678 businesses (69.17%). However, review volume tells a different story: Cafe &amp; Restaurant generates 84,066 reviews — 65.7% of all reviews citywide — despite having fewer than half as many businesses as Shopping &amp; Retail, driven by a handful of very high-engagement venues. Salon &amp; Beauty holds the highest average rating (4.66), closely followed by Fitness &amp; Sports (4.65). Medical &amp; Health is the smallest sector (just 4 businesses), with both the lowest average rating (4.20) and lowest total review volume (1,172), indicating a genuine visibility gap alongside the digital one.</w:t>
      </w:r>
    </w:p>
    <w:p>
      <w:pPr>
        <w:pStyle w:val="Heading1"/>
        <w:spacing w:after="150" w:before="300"/>
      </w:pPr>
      <w:r>
        <w:t xml:space="preserve">Digital Opportunity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3000"/>
      </w:tblGrid>
      <w:tr>
        <w:trPr>
          <w:tblHeader/>
        </w:trPr>
        <w:tc>
          <w:tcPr>
            <w:tcW w:type="dxa" w:w="3000"/>
            <w:shd w:fill="1F3864" w:val="clear"/>
            <w:tcMar>
              <w:top w:type="dxa" w:w="80"/>
              <w:left w:type="dxa" w:w="100"/>
              <w:bottom w:type="dxa" w:w="80"/>
              <w:right w:type="dxa" w:w="100"/>
            </w:tcMar>
          </w:tcPr>
          <w:p>
            <w:pPr>
              <w:jc w:val="center"/>
            </w:pPr>
            <w:r>
              <w:rPr>
                <w:b/>
                <w:bCs/>
                <w:color w:val="FFFFFF"/>
              </w:rPr>
              <w:t xml:space="preserve">Category</w:t>
            </w:r>
          </w:p>
        </w:tc>
        <w:tc>
          <w:tcPr>
            <w:tcW w:type="dxa" w:w="1800"/>
            <w:shd w:fill="1F3864" w:val="clear"/>
            <w:tcMar>
              <w:top w:type="dxa" w:w="80"/>
              <w:left w:type="dxa" w:w="100"/>
              <w:bottom w:type="dxa" w:w="80"/>
              <w:right w:type="dxa" w:w="100"/>
            </w:tcMar>
          </w:tcPr>
          <w:p>
            <w:pPr>
              <w:jc w:val="center"/>
            </w:pPr>
            <w:r>
              <w:rPr>
                <w:b/>
                <w:bCs/>
                <w:color w:val="FFFFFF"/>
              </w:rPr>
              <w:t xml:space="preserve">Businesses</w:t>
            </w:r>
          </w:p>
        </w:tc>
        <w:tc>
          <w:tcPr>
            <w:tcW w:type="dxa" w:w="1600"/>
            <w:shd w:fill="1F3864" w:val="clear"/>
            <w:tcMar>
              <w:top w:type="dxa" w:w="80"/>
              <w:left w:type="dxa" w:w="100"/>
              <w:bottom w:type="dxa" w:w="80"/>
              <w:right w:type="dxa" w:w="100"/>
            </w:tcMar>
          </w:tcPr>
          <w:p>
            <w:pPr>
              <w:jc w:val="center"/>
            </w:pPr>
            <w:r>
              <w:rPr>
                <w:b/>
                <w:bCs/>
                <w:color w:val="FFFFFF"/>
              </w:rPr>
              <w:t xml:space="preserve">Share</w:t>
            </w:r>
          </w:p>
        </w:tc>
        <w:tc>
          <w:tcPr>
            <w:tcW w:type="dxa" w:w="3000"/>
            <w:shd w:fill="1F3864" w:val="clear"/>
            <w:tcMar>
              <w:top w:type="dxa" w:w="80"/>
              <w:left w:type="dxa" w:w="100"/>
              <w:bottom w:type="dxa" w:w="80"/>
              <w:right w:type="dxa" w:w="100"/>
            </w:tcMar>
          </w:tcPr>
          <w:p>
            <w:pPr>
              <w:jc w:val="center"/>
            </w:pPr>
            <w:r>
              <w:rPr>
                <w:b/>
                <w:bCs/>
                <w:color w:val="FFFFFF"/>
              </w:rPr>
              <w:t xml:space="preserve">Meaning</w:t>
            </w:r>
          </w:p>
        </w:tc>
      </w:tr>
      <w:tr>
        <w:tc>
          <w:tcPr>
            <w:tcW w:type="dxa" w:w="3000"/>
            <w:tcMar>
              <w:top w:type="dxa" w:w="80"/>
              <w:left w:type="dxa" w:w="100"/>
              <w:bottom w:type="dxa" w:w="80"/>
              <w:right w:type="dxa" w:w="100"/>
            </w:tcMar>
          </w:tcPr>
          <w:p>
            <w:pPr>
              <w:jc w:val="left"/>
            </w:pPr>
            <w:r>
              <w:rPr>
                <w:b w:val="false"/>
                <w:bCs w:val="false"/>
              </w:rPr>
              <w:t xml:space="preserve">Critical Opportunity</w:t>
            </w:r>
          </w:p>
        </w:tc>
        <w:tc>
          <w:tcPr>
            <w:tcW w:type="dxa" w:w="1800"/>
            <w:tcMar>
              <w:top w:type="dxa" w:w="80"/>
              <w:left w:type="dxa" w:w="100"/>
              <w:bottom w:type="dxa" w:w="80"/>
              <w:right w:type="dxa" w:w="100"/>
            </w:tcMar>
          </w:tcPr>
          <w:p>
            <w:pPr>
              <w:jc w:val="center"/>
            </w:pPr>
            <w:r>
              <w:rPr>
                <w:b w:val="false"/>
                <w:bCs w:val="false"/>
              </w:rPr>
              <w:t xml:space="preserve">338</w:t>
            </w:r>
          </w:p>
        </w:tc>
        <w:tc>
          <w:tcPr>
            <w:tcW w:type="dxa" w:w="1600"/>
            <w:tcMar>
              <w:top w:type="dxa" w:w="80"/>
              <w:left w:type="dxa" w:w="100"/>
              <w:bottom w:type="dxa" w:w="80"/>
              <w:right w:type="dxa" w:w="100"/>
            </w:tcMar>
          </w:tcPr>
          <w:p>
            <w:pPr>
              <w:jc w:val="center"/>
            </w:pPr>
            <w:r>
              <w:rPr>
                <w:b w:val="false"/>
                <w:bCs w:val="false"/>
              </w:rPr>
              <w:t xml:space="preserve">49.85%</w:t>
            </w:r>
          </w:p>
        </w:tc>
        <w:tc>
          <w:tcPr>
            <w:tcW w:type="dxa" w:w="3000"/>
            <w:tcMar>
              <w:top w:type="dxa" w:w="80"/>
              <w:left w:type="dxa" w:w="100"/>
              <w:bottom w:type="dxa" w:w="80"/>
              <w:right w:type="dxa" w:w="100"/>
            </w:tcMar>
          </w:tcPr>
          <w:p>
            <w:pPr>
              <w:jc w:val="center"/>
            </w:pPr>
            <w:r>
              <w:rPr>
                <w:b w:val="false"/>
                <w:bCs w:val="false"/>
              </w:rPr>
              <w:t xml:space="preserve">No website / phone</w:t>
            </w:r>
          </w:p>
        </w:tc>
      </w:tr>
      <w:tr>
        <w:tc>
          <w:tcPr>
            <w:tcW w:type="dxa" w:w="3000"/>
            <w:shd w:fill="F2F2F2" w:val="clear"/>
            <w:tcMar>
              <w:top w:type="dxa" w:w="80"/>
              <w:left w:type="dxa" w:w="100"/>
              <w:bottom w:type="dxa" w:w="80"/>
              <w:right w:type="dxa" w:w="100"/>
            </w:tcMar>
          </w:tcPr>
          <w:p>
            <w:pPr>
              <w:jc w:val="left"/>
            </w:pPr>
            <w:r>
              <w:rPr>
                <w:b w:val="false"/>
                <w:bCs w:val="false"/>
              </w:rPr>
              <w:t xml:space="preserve">Medium Growth Lead</w:t>
            </w:r>
          </w:p>
        </w:tc>
        <w:tc>
          <w:tcPr>
            <w:tcW w:type="dxa" w:w="1800"/>
            <w:shd w:fill="F2F2F2" w:val="clear"/>
            <w:tcMar>
              <w:top w:type="dxa" w:w="80"/>
              <w:left w:type="dxa" w:w="100"/>
              <w:bottom w:type="dxa" w:w="80"/>
              <w:right w:type="dxa" w:w="100"/>
            </w:tcMar>
          </w:tcPr>
          <w:p>
            <w:pPr>
              <w:jc w:val="center"/>
            </w:pPr>
            <w:r>
              <w:rPr>
                <w:b w:val="false"/>
                <w:bCs w:val="false"/>
              </w:rPr>
              <w:t xml:space="preserve">155</w:t>
            </w:r>
          </w:p>
        </w:tc>
        <w:tc>
          <w:tcPr>
            <w:tcW w:type="dxa" w:w="1600"/>
            <w:shd w:fill="F2F2F2" w:val="clear"/>
            <w:tcMar>
              <w:top w:type="dxa" w:w="80"/>
              <w:left w:type="dxa" w:w="100"/>
              <w:bottom w:type="dxa" w:w="80"/>
              <w:right w:type="dxa" w:w="100"/>
            </w:tcMar>
          </w:tcPr>
          <w:p>
            <w:pPr>
              <w:jc w:val="center"/>
            </w:pPr>
            <w:r>
              <w:rPr>
                <w:b w:val="false"/>
                <w:bCs w:val="false"/>
              </w:rPr>
              <w:t xml:space="preserve">22.86%</w:t>
            </w:r>
          </w:p>
        </w:tc>
        <w:tc>
          <w:tcPr>
            <w:tcW w:type="dxa" w:w="3000"/>
            <w:shd w:fill="F2F2F2" w:val="clear"/>
            <w:tcMar>
              <w:top w:type="dxa" w:w="80"/>
              <w:left w:type="dxa" w:w="100"/>
              <w:bottom w:type="dxa" w:w="80"/>
              <w:right w:type="dxa" w:w="100"/>
            </w:tcMar>
          </w:tcPr>
          <w:p>
            <w:pPr>
              <w:jc w:val="center"/>
            </w:pPr>
            <w:r>
              <w:rPr>
                <w:b w:val="false"/>
                <w:bCs w:val="false"/>
              </w:rPr>
              <w:t xml:space="preserve">Partial presence</w:t>
            </w:r>
          </w:p>
        </w:tc>
      </w:tr>
      <w:tr>
        <w:tc>
          <w:tcPr>
            <w:tcW w:type="dxa" w:w="3000"/>
            <w:tcMar>
              <w:top w:type="dxa" w:w="80"/>
              <w:left w:type="dxa" w:w="100"/>
              <w:bottom w:type="dxa" w:w="80"/>
              <w:right w:type="dxa" w:w="100"/>
            </w:tcMar>
          </w:tcPr>
          <w:p>
            <w:pPr>
              <w:jc w:val="left"/>
            </w:pPr>
            <w:r>
              <w:rPr>
                <w:b w:val="false"/>
                <w:bCs w:val="false"/>
              </w:rPr>
              <w:t xml:space="preserve">High Transformation Lead</w:t>
            </w:r>
          </w:p>
        </w:tc>
        <w:tc>
          <w:tcPr>
            <w:tcW w:type="dxa" w:w="1800"/>
            <w:tcMar>
              <w:top w:type="dxa" w:w="80"/>
              <w:left w:type="dxa" w:w="100"/>
              <w:bottom w:type="dxa" w:w="80"/>
              <w:right w:type="dxa" w:w="100"/>
            </w:tcMar>
          </w:tcPr>
          <w:p>
            <w:pPr>
              <w:jc w:val="center"/>
            </w:pPr>
            <w:r>
              <w:rPr>
                <w:b w:val="false"/>
                <w:bCs w:val="false"/>
              </w:rPr>
              <w:t xml:space="preserve">185</w:t>
            </w:r>
          </w:p>
        </w:tc>
        <w:tc>
          <w:tcPr>
            <w:tcW w:type="dxa" w:w="1600"/>
            <w:tcMar>
              <w:top w:type="dxa" w:w="80"/>
              <w:left w:type="dxa" w:w="100"/>
              <w:bottom w:type="dxa" w:w="80"/>
              <w:right w:type="dxa" w:w="100"/>
            </w:tcMar>
          </w:tcPr>
          <w:p>
            <w:pPr>
              <w:jc w:val="center"/>
            </w:pPr>
            <w:r>
              <w:rPr>
                <w:b w:val="false"/>
                <w:bCs w:val="false"/>
              </w:rPr>
              <w:t xml:space="preserve">27.29%</w:t>
            </w:r>
          </w:p>
        </w:tc>
        <w:tc>
          <w:tcPr>
            <w:tcW w:type="dxa" w:w="3000"/>
            <w:tcMar>
              <w:top w:type="dxa" w:w="80"/>
              <w:left w:type="dxa" w:w="100"/>
              <w:bottom w:type="dxa" w:w="80"/>
              <w:right w:type="dxa" w:w="100"/>
            </w:tcMar>
          </w:tcPr>
          <w:p>
            <w:pPr>
              <w:jc w:val="center"/>
            </w:pPr>
            <w:r>
              <w:rPr>
                <w:b w:val="false"/>
                <w:bCs w:val="false"/>
              </w:rPr>
              <w:t xml:space="preserve">Top rated, established online</w:t>
            </w:r>
          </w:p>
        </w:tc>
      </w:tr>
    </w:tbl>
    <w:p>
      <w:pPr>
        <w:spacing w:after="150"/>
      </w:pPr>
    </w:p>
    <w:p>
      <w:pPr>
        <w:spacing w:after="150"/>
      </w:pPr>
      <w:r>
        <w:t xml:space="preserve">The Business Opportunity Distribution chart shows Critical Opportunity as the single largest group at 338 businesses, roughly double the size of either the High Transformation Lead (185) or Medium Growth Lead (155) groups. Separately, the Website Status donut shows 666 businesses (98.23%) have no website listed at all — a far steeper gap than the phone-listing gap (50.59% missing), suggesting website presence is the more urgent fix across the board.</w:t>
      </w:r>
    </w:p>
    <w:p>
      <w:pPr>
        <w:pStyle w:val="Heading1"/>
        <w:spacing w:after="150" w:before="300"/>
      </w:pPr>
      <w:r>
        <w:t xml:space="preserve">Top Opportunity Leads</w:t>
      </w:r>
    </w:p>
    <w:p>
      <w:pPr>
        <w:spacing w:after="150"/>
      </w:pPr>
      <w:r>
        <w:t xml:space="preserve">The table below lists the highest-review Critical Opportunity businesses — strong candidates for a Top 10 outreach list, since they already have significant customer engagement but lack a website or listed contact.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000"/>
        <w:gridCol w:w="1000"/>
        <w:gridCol w:w="2000"/>
      </w:tblGrid>
      <w:tr>
        <w:trPr>
          <w:tblHeader/>
        </w:trPr>
        <w:tc>
          <w:tcPr>
            <w:tcW w:type="dxa" w:w="2800"/>
            <w:shd w:fill="1F3864" w:val="clear"/>
            <w:tcMar>
              <w:top w:type="dxa" w:w="80"/>
              <w:left w:type="dxa" w:w="100"/>
              <w:bottom w:type="dxa" w:w="80"/>
              <w:right w:type="dxa" w:w="100"/>
            </w:tcMar>
          </w:tcPr>
          <w:p>
            <w:pPr>
              <w:jc w:val="center"/>
            </w:pPr>
            <w:r>
              <w:rPr>
                <w:b/>
                <w:bCs/>
                <w:color w:val="FFFFFF"/>
              </w:rPr>
              <w:t xml:space="preserve">Business Name</w:t>
            </w:r>
          </w:p>
        </w:tc>
        <w:tc>
          <w:tcPr>
            <w:tcW w:type="dxa" w:w="1600"/>
            <w:shd w:fill="1F3864" w:val="clear"/>
            <w:tcMar>
              <w:top w:type="dxa" w:w="80"/>
              <w:left w:type="dxa" w:w="100"/>
              <w:bottom w:type="dxa" w:w="80"/>
              <w:right w:type="dxa" w:w="100"/>
            </w:tcMar>
          </w:tcPr>
          <w:p>
            <w:pPr>
              <w:jc w:val="center"/>
            </w:pPr>
            <w:r>
              <w:rPr>
                <w:b/>
                <w:bCs/>
                <w:color w:val="FFFFFF"/>
              </w:rPr>
              <w:t xml:space="preserve">Category</w:t>
            </w:r>
          </w:p>
        </w:tc>
        <w:tc>
          <w:tcPr>
            <w:tcW w:type="dxa" w:w="2000"/>
            <w:shd w:fill="1F3864" w:val="clear"/>
            <w:tcMar>
              <w:top w:type="dxa" w:w="80"/>
              <w:left w:type="dxa" w:w="100"/>
              <w:bottom w:type="dxa" w:w="80"/>
              <w:right w:type="dxa" w:w="100"/>
            </w:tcMar>
          </w:tcPr>
          <w:p>
            <w:pPr>
              <w:jc w:val="center"/>
            </w:pPr>
            <w:r>
              <w:rPr>
                <w:b/>
                <w:bCs/>
                <w:color w:val="FFFFFF"/>
              </w:rPr>
              <w:t xml:space="preserve">Sector</w:t>
            </w:r>
          </w:p>
        </w:tc>
        <w:tc>
          <w:tcPr>
            <w:tcW w:type="dxa" w:w="1000"/>
            <w:shd w:fill="1F3864" w:val="clear"/>
            <w:tcMar>
              <w:top w:type="dxa" w:w="80"/>
              <w:left w:type="dxa" w:w="100"/>
              <w:bottom w:type="dxa" w:w="80"/>
              <w:right w:type="dxa" w:w="100"/>
            </w:tcMar>
          </w:tcPr>
          <w:p>
            <w:pPr>
              <w:jc w:val="center"/>
            </w:pPr>
            <w:r>
              <w:rPr>
                <w:b/>
                <w:bCs/>
                <w:color w:val="FFFFFF"/>
              </w:rPr>
              <w:t xml:space="preserve">Rating</w:t>
            </w:r>
          </w:p>
        </w:tc>
        <w:tc>
          <w:tcPr>
            <w:tcW w:type="dxa" w:w="1000"/>
            <w:shd w:fill="1F3864" w:val="clear"/>
            <w:tcMar>
              <w:top w:type="dxa" w:w="80"/>
              <w:left w:type="dxa" w:w="100"/>
              <w:bottom w:type="dxa" w:w="80"/>
              <w:right w:type="dxa" w:w="100"/>
            </w:tcMar>
          </w:tcPr>
          <w:p>
            <w:pPr>
              <w:jc w:val="center"/>
            </w:pPr>
            <w:r>
              <w:rPr>
                <w:b/>
                <w:bCs/>
                <w:color w:val="FFFFFF"/>
              </w:rPr>
              <w:t xml:space="preserve">Reviews</w:t>
            </w:r>
          </w:p>
        </w:tc>
        <w:tc>
          <w:tcPr>
            <w:tcW w:type="dxa" w:w="2000"/>
            <w:shd w:fill="1F3864" w:val="clear"/>
            <w:tcMar>
              <w:top w:type="dxa" w:w="80"/>
              <w:left w:type="dxa" w:w="100"/>
              <w:bottom w:type="dxa" w:w="80"/>
              <w:right w:type="dxa" w:w="100"/>
            </w:tcMar>
          </w:tcPr>
          <w:p>
            <w:pPr>
              <w:jc w:val="center"/>
            </w:pPr>
            <w:r>
              <w:rPr>
                <w:b/>
                <w:bCs/>
                <w:color w:val="FFFFFF"/>
              </w:rPr>
              <w:t xml:space="preserve">Status</w:t>
            </w:r>
          </w:p>
        </w:tc>
      </w:tr>
      <w:tr>
        <w:tc>
          <w:tcPr>
            <w:tcW w:type="dxa" w:w="2800"/>
            <w:tcMar>
              <w:top w:type="dxa" w:w="80"/>
              <w:left w:type="dxa" w:w="100"/>
              <w:bottom w:type="dxa" w:w="80"/>
              <w:right w:type="dxa" w:w="100"/>
            </w:tcMar>
          </w:tcPr>
          <w:p>
            <w:pPr>
              <w:jc w:val="left"/>
            </w:pPr>
            <w:r>
              <w:rPr>
                <w:b w:val="false"/>
                <w:bCs w:val="false"/>
              </w:rPr>
              <w:t xml:space="preserve">Mannat Haveli Kurukshetra</w:t>
            </w:r>
          </w:p>
        </w:tc>
        <w:tc>
          <w:tcPr>
            <w:tcW w:type="dxa" w:w="1600"/>
            <w:tcMar>
              <w:top w:type="dxa" w:w="80"/>
              <w:left w:type="dxa" w:w="100"/>
              <w:bottom w:type="dxa" w:w="80"/>
              <w:right w:type="dxa" w:w="100"/>
            </w:tcMar>
          </w:tcPr>
          <w:p>
            <w:pPr>
              <w:jc w:val="center"/>
            </w:pPr>
            <w:r>
              <w:rPr>
                <w:b w:val="false"/>
                <w:bCs w:val="false"/>
              </w:rPr>
              <w:t xml:space="preserve">Restaurant</w:t>
            </w:r>
          </w:p>
        </w:tc>
        <w:tc>
          <w:tcPr>
            <w:tcW w:type="dxa" w:w="2000"/>
            <w:tcMar>
              <w:top w:type="dxa" w:w="80"/>
              <w:left w:type="dxa" w:w="100"/>
              <w:bottom w:type="dxa" w:w="80"/>
              <w:right w:type="dxa" w:w="100"/>
            </w:tcMar>
          </w:tcPr>
          <w:p>
            <w:pPr>
              <w:jc w:val="center"/>
            </w:pPr>
            <w:r>
              <w:rPr>
                <w:b w:val="false"/>
                <w:bCs w:val="false"/>
              </w:rPr>
              <w:t xml:space="preserve">Cafe &amp; Restaurant</w:t>
            </w:r>
          </w:p>
        </w:tc>
        <w:tc>
          <w:tcPr>
            <w:tcW w:type="dxa" w:w="1000"/>
            <w:tcMar>
              <w:top w:type="dxa" w:w="80"/>
              <w:left w:type="dxa" w:w="100"/>
              <w:bottom w:type="dxa" w:w="80"/>
              <w:right w:type="dxa" w:w="100"/>
            </w:tcMar>
          </w:tcPr>
          <w:p>
            <w:pPr>
              <w:jc w:val="center"/>
            </w:pPr>
            <w:r>
              <w:rPr>
                <w:b w:val="false"/>
                <w:bCs w:val="false"/>
              </w:rPr>
              <w:t xml:space="preserve">4.3</w:t>
            </w:r>
          </w:p>
        </w:tc>
        <w:tc>
          <w:tcPr>
            <w:tcW w:type="dxa" w:w="1000"/>
            <w:tcMar>
              <w:top w:type="dxa" w:w="80"/>
              <w:left w:type="dxa" w:w="100"/>
              <w:bottom w:type="dxa" w:w="80"/>
              <w:right w:type="dxa" w:w="100"/>
            </w:tcMar>
          </w:tcPr>
          <w:p>
            <w:pPr>
              <w:jc w:val="center"/>
            </w:pPr>
            <w:r>
              <w:rPr>
                <w:b w:val="false"/>
                <w:bCs w:val="false"/>
              </w:rPr>
              <w:t xml:space="preserve">20,000</w:t>
            </w:r>
          </w:p>
        </w:tc>
        <w:tc>
          <w:tcPr>
            <w:tcW w:type="dxa" w:w="2000"/>
            <w:tcMar>
              <w:top w:type="dxa" w:w="80"/>
              <w:left w:type="dxa" w:w="100"/>
              <w:bottom w:type="dxa" w:w="80"/>
              <w:right w:type="dxa" w:w="100"/>
            </w:tcMar>
          </w:tcPr>
          <w:p>
            <w:pPr>
              <w:jc w:val="center"/>
            </w:pPr>
            <w:r>
              <w:rPr>
                <w:b w:val="false"/>
                <w:bCs w:val="false"/>
              </w:rPr>
              <w:t xml:space="preserve">Critical Opportunity</w:t>
            </w:r>
          </w:p>
        </w:tc>
      </w:tr>
      <w:tr>
        <w:tc>
          <w:tcPr>
            <w:tcW w:type="dxa" w:w="2800"/>
            <w:shd w:fill="F2F2F2" w:val="clear"/>
            <w:tcMar>
              <w:top w:type="dxa" w:w="80"/>
              <w:left w:type="dxa" w:w="100"/>
              <w:bottom w:type="dxa" w:w="80"/>
              <w:right w:type="dxa" w:w="100"/>
            </w:tcMar>
          </w:tcPr>
          <w:p>
            <w:pPr>
              <w:jc w:val="left"/>
            </w:pPr>
            <w:r>
              <w:rPr>
                <w:b w:val="false"/>
                <w:bCs w:val="false"/>
              </w:rPr>
              <w:t xml:space="preserve">Golden Hut Restaurants &amp; Rooms</w:t>
            </w:r>
          </w:p>
        </w:tc>
        <w:tc>
          <w:tcPr>
            <w:tcW w:type="dxa" w:w="1600"/>
            <w:shd w:fill="F2F2F2" w:val="clear"/>
            <w:tcMar>
              <w:top w:type="dxa" w:w="80"/>
              <w:left w:type="dxa" w:w="100"/>
              <w:bottom w:type="dxa" w:w="80"/>
              <w:right w:type="dxa" w:w="100"/>
            </w:tcMar>
          </w:tcPr>
          <w:p>
            <w:pPr>
              <w:jc w:val="center"/>
            </w:pPr>
            <w:r>
              <w:rPr>
                <w:b w:val="false"/>
                <w:bCs w:val="false"/>
              </w:rPr>
              <w:t xml:space="preserve">Dhaba</w:t>
            </w:r>
          </w:p>
        </w:tc>
        <w:tc>
          <w:tcPr>
            <w:tcW w:type="dxa" w:w="2000"/>
            <w:shd w:fill="F2F2F2" w:val="clear"/>
            <w:tcMar>
              <w:top w:type="dxa" w:w="80"/>
              <w:left w:type="dxa" w:w="100"/>
              <w:bottom w:type="dxa" w:w="80"/>
              <w:right w:type="dxa" w:w="100"/>
            </w:tcMar>
          </w:tcPr>
          <w:p>
            <w:pPr>
              <w:jc w:val="center"/>
            </w:pPr>
            <w:r>
              <w:rPr>
                <w:b w:val="false"/>
                <w:bCs w:val="false"/>
              </w:rPr>
              <w:t xml:space="preserve">Cafe &amp; Restaurant</w:t>
            </w:r>
          </w:p>
        </w:tc>
        <w:tc>
          <w:tcPr>
            <w:tcW w:type="dxa" w:w="1000"/>
            <w:shd w:fill="F2F2F2" w:val="clear"/>
            <w:tcMar>
              <w:top w:type="dxa" w:w="80"/>
              <w:left w:type="dxa" w:w="100"/>
              <w:bottom w:type="dxa" w:w="80"/>
              <w:right w:type="dxa" w:w="100"/>
            </w:tcMar>
          </w:tcPr>
          <w:p>
            <w:pPr>
              <w:jc w:val="center"/>
            </w:pPr>
            <w:r>
              <w:rPr>
                <w:b w:val="false"/>
                <w:bCs w:val="false"/>
              </w:rPr>
              <w:t xml:space="preserve">4.4</w:t>
            </w:r>
          </w:p>
        </w:tc>
        <w:tc>
          <w:tcPr>
            <w:tcW w:type="dxa" w:w="1000"/>
            <w:shd w:fill="F2F2F2" w:val="clear"/>
            <w:tcMar>
              <w:top w:type="dxa" w:w="80"/>
              <w:left w:type="dxa" w:w="100"/>
              <w:bottom w:type="dxa" w:w="80"/>
              <w:right w:type="dxa" w:w="100"/>
            </w:tcMar>
          </w:tcPr>
          <w:p>
            <w:pPr>
              <w:jc w:val="center"/>
            </w:pPr>
            <w:r>
              <w:rPr>
                <w:b w:val="false"/>
                <w:bCs w:val="false"/>
              </w:rPr>
              <w:t xml:space="preserve">16,000</w:t>
            </w:r>
          </w:p>
        </w:tc>
        <w:tc>
          <w:tcPr>
            <w:tcW w:type="dxa" w:w="2000"/>
            <w:shd w:fill="F2F2F2" w:val="clear"/>
            <w:tcMar>
              <w:top w:type="dxa" w:w="80"/>
              <w:left w:type="dxa" w:w="100"/>
              <w:bottom w:type="dxa" w:w="80"/>
              <w:right w:type="dxa" w:w="100"/>
            </w:tcMar>
          </w:tcPr>
          <w:p>
            <w:pPr>
              <w:jc w:val="center"/>
            </w:pPr>
            <w:r>
              <w:rPr>
                <w:b w:val="false"/>
                <w:bCs w:val="false"/>
              </w:rPr>
              <w:t xml:space="preserve">Critical Opportunity</w:t>
            </w:r>
          </w:p>
        </w:tc>
      </w:tr>
      <w:tr>
        <w:tc>
          <w:tcPr>
            <w:tcW w:type="dxa" w:w="2800"/>
            <w:tcMar>
              <w:top w:type="dxa" w:w="80"/>
              <w:left w:type="dxa" w:w="100"/>
              <w:bottom w:type="dxa" w:w="80"/>
              <w:right w:type="dxa" w:w="100"/>
            </w:tcMar>
          </w:tcPr>
          <w:p>
            <w:pPr>
              <w:jc w:val="left"/>
            </w:pPr>
            <w:r>
              <w:rPr>
                <w:b w:val="false"/>
                <w:bCs w:val="false"/>
              </w:rPr>
              <w:t xml:space="preserve">Pizza Wings, Kurukshetra</w:t>
            </w:r>
          </w:p>
        </w:tc>
        <w:tc>
          <w:tcPr>
            <w:tcW w:type="dxa" w:w="1600"/>
            <w:tcMar>
              <w:top w:type="dxa" w:w="80"/>
              <w:left w:type="dxa" w:w="100"/>
              <w:bottom w:type="dxa" w:w="80"/>
              <w:right w:type="dxa" w:w="100"/>
            </w:tcMar>
          </w:tcPr>
          <w:p>
            <w:pPr>
              <w:jc w:val="center"/>
            </w:pPr>
            <w:r>
              <w:rPr>
                <w:b w:val="false"/>
                <w:bCs w:val="false"/>
              </w:rPr>
              <w:t xml:space="preserve">Pizza</w:t>
            </w:r>
          </w:p>
        </w:tc>
        <w:tc>
          <w:tcPr>
            <w:tcW w:type="dxa" w:w="2000"/>
            <w:tcMar>
              <w:top w:type="dxa" w:w="80"/>
              <w:left w:type="dxa" w:w="100"/>
              <w:bottom w:type="dxa" w:w="80"/>
              <w:right w:type="dxa" w:w="100"/>
            </w:tcMar>
          </w:tcPr>
          <w:p>
            <w:pPr>
              <w:jc w:val="center"/>
            </w:pPr>
            <w:r>
              <w:rPr>
                <w:b w:val="false"/>
                <w:bCs w:val="false"/>
              </w:rPr>
              <w:t xml:space="preserve">Cafe &amp; Restaurant</w:t>
            </w:r>
          </w:p>
        </w:tc>
        <w:tc>
          <w:tcPr>
            <w:tcW w:type="dxa" w:w="1000"/>
            <w:tcMar>
              <w:top w:type="dxa" w:w="80"/>
              <w:left w:type="dxa" w:w="100"/>
              <w:bottom w:type="dxa" w:w="80"/>
              <w:right w:type="dxa" w:w="100"/>
            </w:tcMar>
          </w:tcPr>
          <w:p>
            <w:pPr>
              <w:jc w:val="center"/>
            </w:pPr>
            <w:r>
              <w:rPr>
                <w:b w:val="false"/>
                <w:bCs w:val="false"/>
              </w:rPr>
              <w:t xml:space="preserve">4.9</w:t>
            </w:r>
          </w:p>
        </w:tc>
        <w:tc>
          <w:tcPr>
            <w:tcW w:type="dxa" w:w="1000"/>
            <w:tcMar>
              <w:top w:type="dxa" w:w="80"/>
              <w:left w:type="dxa" w:w="100"/>
              <w:bottom w:type="dxa" w:w="80"/>
              <w:right w:type="dxa" w:w="100"/>
            </w:tcMar>
          </w:tcPr>
          <w:p>
            <w:pPr>
              <w:jc w:val="center"/>
            </w:pPr>
            <w:r>
              <w:rPr>
                <w:b w:val="false"/>
                <w:bCs w:val="false"/>
              </w:rPr>
              <w:t xml:space="preserve">6,000</w:t>
            </w:r>
          </w:p>
        </w:tc>
        <w:tc>
          <w:tcPr>
            <w:tcW w:type="dxa" w:w="2000"/>
            <w:tcMar>
              <w:top w:type="dxa" w:w="80"/>
              <w:left w:type="dxa" w:w="100"/>
              <w:bottom w:type="dxa" w:w="80"/>
              <w:right w:type="dxa" w:w="100"/>
            </w:tcMar>
          </w:tcPr>
          <w:p>
            <w:pPr>
              <w:jc w:val="center"/>
            </w:pPr>
            <w:r>
              <w:rPr>
                <w:b w:val="false"/>
                <w:bCs w:val="false"/>
              </w:rPr>
              <w:t xml:space="preserve">Critical Opportunity</w:t>
            </w:r>
          </w:p>
        </w:tc>
      </w:tr>
      <w:tr>
        <w:tc>
          <w:tcPr>
            <w:tcW w:type="dxa" w:w="2800"/>
            <w:shd w:fill="F2F2F2" w:val="clear"/>
            <w:tcMar>
              <w:top w:type="dxa" w:w="80"/>
              <w:left w:type="dxa" w:w="100"/>
              <w:bottom w:type="dxa" w:w="80"/>
              <w:right w:type="dxa" w:w="100"/>
            </w:tcMar>
          </w:tcPr>
          <w:p>
            <w:pPr>
              <w:jc w:val="left"/>
            </w:pPr>
            <w:r>
              <w:rPr>
                <w:b w:val="false"/>
                <w:bCs w:val="false"/>
              </w:rPr>
              <w:t xml:space="preserve">Mirchi Hotel &amp; Restaurant</w:t>
            </w:r>
          </w:p>
        </w:tc>
        <w:tc>
          <w:tcPr>
            <w:tcW w:type="dxa" w:w="1600"/>
            <w:shd w:fill="F2F2F2" w:val="clear"/>
            <w:tcMar>
              <w:top w:type="dxa" w:w="80"/>
              <w:left w:type="dxa" w:w="100"/>
              <w:bottom w:type="dxa" w:w="80"/>
              <w:right w:type="dxa" w:w="100"/>
            </w:tcMar>
          </w:tcPr>
          <w:p>
            <w:pPr>
              <w:jc w:val="center"/>
            </w:pPr>
            <w:r>
              <w:rPr>
                <w:b w:val="false"/>
                <w:bCs w:val="false"/>
              </w:rPr>
              <w:t xml:space="preserve">North Indian</w:t>
            </w:r>
          </w:p>
        </w:tc>
        <w:tc>
          <w:tcPr>
            <w:tcW w:type="dxa" w:w="2000"/>
            <w:shd w:fill="F2F2F2" w:val="clear"/>
            <w:tcMar>
              <w:top w:type="dxa" w:w="80"/>
              <w:left w:type="dxa" w:w="100"/>
              <w:bottom w:type="dxa" w:w="80"/>
              <w:right w:type="dxa" w:w="100"/>
            </w:tcMar>
          </w:tcPr>
          <w:p>
            <w:pPr>
              <w:jc w:val="center"/>
            </w:pPr>
            <w:r>
              <w:rPr>
                <w:b w:val="false"/>
                <w:bCs w:val="false"/>
              </w:rPr>
              <w:t xml:space="preserve">Cafe &amp; Restaurant</w:t>
            </w:r>
          </w:p>
        </w:tc>
        <w:tc>
          <w:tcPr>
            <w:tcW w:type="dxa" w:w="1000"/>
            <w:shd w:fill="F2F2F2" w:val="clear"/>
            <w:tcMar>
              <w:top w:type="dxa" w:w="80"/>
              <w:left w:type="dxa" w:w="100"/>
              <w:bottom w:type="dxa" w:w="80"/>
              <w:right w:type="dxa" w:w="100"/>
            </w:tcMar>
          </w:tcPr>
          <w:p>
            <w:pPr>
              <w:jc w:val="center"/>
            </w:pPr>
            <w:r>
              <w:rPr>
                <w:b w:val="false"/>
                <w:bCs w:val="false"/>
              </w:rPr>
              <w:t xml:space="preserve">3.9</w:t>
            </w:r>
          </w:p>
        </w:tc>
        <w:tc>
          <w:tcPr>
            <w:tcW w:type="dxa" w:w="1000"/>
            <w:shd w:fill="F2F2F2" w:val="clear"/>
            <w:tcMar>
              <w:top w:type="dxa" w:w="80"/>
              <w:left w:type="dxa" w:w="100"/>
              <w:bottom w:type="dxa" w:w="80"/>
              <w:right w:type="dxa" w:w="100"/>
            </w:tcMar>
          </w:tcPr>
          <w:p>
            <w:pPr>
              <w:jc w:val="center"/>
            </w:pPr>
            <w:r>
              <w:rPr>
                <w:b w:val="false"/>
                <w:bCs w:val="false"/>
              </w:rPr>
              <w:t xml:space="preserve">4,800</w:t>
            </w:r>
          </w:p>
        </w:tc>
        <w:tc>
          <w:tcPr>
            <w:tcW w:type="dxa" w:w="2000"/>
            <w:shd w:fill="F2F2F2" w:val="clear"/>
            <w:tcMar>
              <w:top w:type="dxa" w:w="80"/>
              <w:left w:type="dxa" w:w="100"/>
              <w:bottom w:type="dxa" w:w="80"/>
              <w:right w:type="dxa" w:w="100"/>
            </w:tcMar>
          </w:tcPr>
          <w:p>
            <w:pPr>
              <w:jc w:val="center"/>
            </w:pPr>
            <w:r>
              <w:rPr>
                <w:b w:val="false"/>
                <w:bCs w:val="false"/>
              </w:rPr>
              <w:t xml:space="preserve">Critical Opportunity</w:t>
            </w:r>
          </w:p>
        </w:tc>
      </w:tr>
      <w:tr>
        <w:tc>
          <w:tcPr>
            <w:tcW w:type="dxa" w:w="2800"/>
            <w:tcMar>
              <w:top w:type="dxa" w:w="80"/>
              <w:left w:type="dxa" w:w="100"/>
              <w:bottom w:type="dxa" w:w="80"/>
              <w:right w:type="dxa" w:w="100"/>
            </w:tcMar>
          </w:tcPr>
          <w:p>
            <w:pPr>
              <w:jc w:val="left"/>
            </w:pPr>
            <w:r>
              <w:rPr>
                <w:b w:val="false"/>
                <w:bCs w:val="false"/>
              </w:rPr>
              <w:t xml:space="preserve">Sukhan's Star Dhaba</w:t>
            </w:r>
          </w:p>
        </w:tc>
        <w:tc>
          <w:tcPr>
            <w:tcW w:type="dxa" w:w="1600"/>
            <w:tcMar>
              <w:top w:type="dxa" w:w="80"/>
              <w:left w:type="dxa" w:w="100"/>
              <w:bottom w:type="dxa" w:w="80"/>
              <w:right w:type="dxa" w:w="100"/>
            </w:tcMar>
          </w:tcPr>
          <w:p>
            <w:pPr>
              <w:jc w:val="center"/>
            </w:pPr>
            <w:r>
              <w:rPr>
                <w:b w:val="false"/>
                <w:bCs w:val="false"/>
              </w:rPr>
              <w:t xml:space="preserve">Restaurant</w:t>
            </w:r>
          </w:p>
        </w:tc>
        <w:tc>
          <w:tcPr>
            <w:tcW w:type="dxa" w:w="2000"/>
            <w:tcMar>
              <w:top w:type="dxa" w:w="80"/>
              <w:left w:type="dxa" w:w="100"/>
              <w:bottom w:type="dxa" w:w="80"/>
              <w:right w:type="dxa" w:w="100"/>
            </w:tcMar>
          </w:tcPr>
          <w:p>
            <w:pPr>
              <w:jc w:val="center"/>
            </w:pPr>
            <w:r>
              <w:rPr>
                <w:b w:val="false"/>
                <w:bCs w:val="false"/>
              </w:rPr>
              <w:t xml:space="preserve">Cafe &amp; Restaurant</w:t>
            </w:r>
          </w:p>
        </w:tc>
        <w:tc>
          <w:tcPr>
            <w:tcW w:type="dxa" w:w="1000"/>
            <w:tcMar>
              <w:top w:type="dxa" w:w="80"/>
              <w:left w:type="dxa" w:w="100"/>
              <w:bottom w:type="dxa" w:w="80"/>
              <w:right w:type="dxa" w:w="100"/>
            </w:tcMar>
          </w:tcPr>
          <w:p>
            <w:pPr>
              <w:jc w:val="center"/>
            </w:pPr>
            <w:r>
              <w:rPr>
                <w:b w:val="false"/>
                <w:bCs w:val="false"/>
              </w:rPr>
              <w:t xml:space="preserve">4.5</w:t>
            </w:r>
          </w:p>
        </w:tc>
        <w:tc>
          <w:tcPr>
            <w:tcW w:type="dxa" w:w="1000"/>
            <w:tcMar>
              <w:top w:type="dxa" w:w="80"/>
              <w:left w:type="dxa" w:w="100"/>
              <w:bottom w:type="dxa" w:w="80"/>
              <w:right w:type="dxa" w:w="100"/>
            </w:tcMar>
          </w:tcPr>
          <w:p>
            <w:pPr>
              <w:jc w:val="center"/>
            </w:pPr>
            <w:r>
              <w:rPr>
                <w:b w:val="false"/>
                <w:bCs w:val="false"/>
              </w:rPr>
              <w:t xml:space="preserve">3,000</w:t>
            </w:r>
          </w:p>
        </w:tc>
        <w:tc>
          <w:tcPr>
            <w:tcW w:type="dxa" w:w="2000"/>
            <w:tcMar>
              <w:top w:type="dxa" w:w="80"/>
              <w:left w:type="dxa" w:w="100"/>
              <w:bottom w:type="dxa" w:w="80"/>
              <w:right w:type="dxa" w:w="100"/>
            </w:tcMar>
          </w:tcPr>
          <w:p>
            <w:pPr>
              <w:jc w:val="center"/>
            </w:pPr>
            <w:r>
              <w:rPr>
                <w:b w:val="false"/>
                <w:bCs w:val="false"/>
              </w:rPr>
              <w:t xml:space="preserve">Critical Opportunity</w:t>
            </w:r>
          </w:p>
        </w:tc>
      </w:tr>
      <w:tr>
        <w:tc>
          <w:tcPr>
            <w:tcW w:type="dxa" w:w="2800"/>
            <w:shd w:fill="F2F2F2" w:val="clear"/>
            <w:tcMar>
              <w:top w:type="dxa" w:w="80"/>
              <w:left w:type="dxa" w:w="100"/>
              <w:bottom w:type="dxa" w:w="80"/>
              <w:right w:type="dxa" w:w="100"/>
            </w:tcMar>
          </w:tcPr>
          <w:p>
            <w:pPr>
              <w:jc w:val="left"/>
            </w:pPr>
            <w:r>
              <w:rPr>
                <w:b w:val="false"/>
                <w:bCs w:val="false"/>
              </w:rPr>
              <w:t xml:space="preserve">Divine City Centre</w:t>
            </w:r>
          </w:p>
        </w:tc>
        <w:tc>
          <w:tcPr>
            <w:tcW w:type="dxa" w:w="1600"/>
            <w:shd w:fill="F2F2F2" w:val="clear"/>
            <w:tcMar>
              <w:top w:type="dxa" w:w="80"/>
              <w:left w:type="dxa" w:w="100"/>
              <w:bottom w:type="dxa" w:w="80"/>
              <w:right w:type="dxa" w:w="100"/>
            </w:tcMar>
          </w:tcPr>
          <w:p>
            <w:pPr>
              <w:jc w:val="center"/>
            </w:pPr>
            <w:r>
              <w:rPr>
                <w:b w:val="false"/>
                <w:bCs w:val="false"/>
              </w:rPr>
              <w:t xml:space="preserve">Shopping Mall</w:t>
            </w:r>
          </w:p>
        </w:tc>
        <w:tc>
          <w:tcPr>
            <w:tcW w:type="dxa" w:w="2000"/>
            <w:shd w:fill="F2F2F2" w:val="clear"/>
            <w:tcMar>
              <w:top w:type="dxa" w:w="80"/>
              <w:left w:type="dxa" w:w="100"/>
              <w:bottom w:type="dxa" w:w="80"/>
              <w:right w:type="dxa" w:w="100"/>
            </w:tcMar>
          </w:tcPr>
          <w:p>
            <w:pPr>
              <w:jc w:val="center"/>
            </w:pPr>
            <w:r>
              <w:rPr>
                <w:b w:val="false"/>
                <w:bCs w:val="false"/>
              </w:rPr>
              <w:t xml:space="preserve">Shopping &amp; Retail</w:t>
            </w:r>
          </w:p>
        </w:tc>
        <w:tc>
          <w:tcPr>
            <w:tcW w:type="dxa" w:w="1000"/>
            <w:shd w:fill="F2F2F2" w:val="clear"/>
            <w:tcMar>
              <w:top w:type="dxa" w:w="80"/>
              <w:left w:type="dxa" w:w="100"/>
              <w:bottom w:type="dxa" w:w="80"/>
              <w:right w:type="dxa" w:w="100"/>
            </w:tcMar>
          </w:tcPr>
          <w:p>
            <w:pPr>
              <w:jc w:val="center"/>
            </w:pPr>
            <w:r>
              <w:rPr>
                <w:b w:val="false"/>
                <w:bCs w:val="false"/>
              </w:rPr>
              <w:t xml:space="preserve">4.1</w:t>
            </w:r>
          </w:p>
        </w:tc>
        <w:tc>
          <w:tcPr>
            <w:tcW w:type="dxa" w:w="1000"/>
            <w:shd w:fill="F2F2F2" w:val="clear"/>
            <w:tcMar>
              <w:top w:type="dxa" w:w="80"/>
              <w:left w:type="dxa" w:w="100"/>
              <w:bottom w:type="dxa" w:w="80"/>
              <w:right w:type="dxa" w:w="100"/>
            </w:tcMar>
          </w:tcPr>
          <w:p>
            <w:pPr>
              <w:jc w:val="center"/>
            </w:pPr>
            <w:r>
              <w:rPr>
                <w:b w:val="false"/>
                <w:bCs w:val="false"/>
              </w:rPr>
              <w:t xml:space="preserve">1,700</w:t>
            </w:r>
          </w:p>
        </w:tc>
        <w:tc>
          <w:tcPr>
            <w:tcW w:type="dxa" w:w="2000"/>
            <w:shd w:fill="F2F2F2" w:val="clear"/>
            <w:tcMar>
              <w:top w:type="dxa" w:w="80"/>
              <w:left w:type="dxa" w:w="100"/>
              <w:bottom w:type="dxa" w:w="80"/>
              <w:right w:type="dxa" w:w="100"/>
            </w:tcMar>
          </w:tcPr>
          <w:p>
            <w:pPr>
              <w:jc w:val="center"/>
            </w:pPr>
            <w:r>
              <w:rPr>
                <w:b w:val="false"/>
                <w:bCs w:val="false"/>
              </w:rPr>
              <w:t xml:space="preserve">Critical Opportunity</w:t>
            </w:r>
          </w:p>
        </w:tc>
      </w:tr>
      <w:tr>
        <w:tc>
          <w:tcPr>
            <w:tcW w:type="dxa" w:w="2800"/>
            <w:tcMar>
              <w:top w:type="dxa" w:w="80"/>
              <w:left w:type="dxa" w:w="100"/>
              <w:bottom w:type="dxa" w:w="80"/>
              <w:right w:type="dxa" w:w="100"/>
            </w:tcMar>
          </w:tcPr>
          <w:p>
            <w:pPr>
              <w:jc w:val="left"/>
            </w:pPr>
            <w:r>
              <w:rPr>
                <w:b w:val="false"/>
                <w:bCs w:val="false"/>
              </w:rPr>
              <w:t xml:space="preserve">McDonald's</w:t>
            </w:r>
          </w:p>
        </w:tc>
        <w:tc>
          <w:tcPr>
            <w:tcW w:type="dxa" w:w="1600"/>
            <w:tcMar>
              <w:top w:type="dxa" w:w="80"/>
              <w:left w:type="dxa" w:w="100"/>
              <w:bottom w:type="dxa" w:w="80"/>
              <w:right w:type="dxa" w:w="100"/>
            </w:tcMar>
          </w:tcPr>
          <w:p>
            <w:pPr>
              <w:jc w:val="center"/>
            </w:pPr>
            <w:r>
              <w:rPr>
                <w:b w:val="false"/>
                <w:bCs w:val="false"/>
              </w:rPr>
              <w:t xml:space="preserve">Fast Food</w:t>
            </w:r>
          </w:p>
        </w:tc>
        <w:tc>
          <w:tcPr>
            <w:tcW w:type="dxa" w:w="2000"/>
            <w:tcMar>
              <w:top w:type="dxa" w:w="80"/>
              <w:left w:type="dxa" w:w="100"/>
              <w:bottom w:type="dxa" w:w="80"/>
              <w:right w:type="dxa" w:w="100"/>
            </w:tcMar>
          </w:tcPr>
          <w:p>
            <w:pPr>
              <w:jc w:val="center"/>
            </w:pPr>
            <w:r>
              <w:rPr>
                <w:b w:val="false"/>
                <w:bCs w:val="false"/>
              </w:rPr>
              <w:t xml:space="preserve">Cafe &amp; Restaurant</w:t>
            </w:r>
          </w:p>
        </w:tc>
        <w:tc>
          <w:tcPr>
            <w:tcW w:type="dxa" w:w="1000"/>
            <w:tcMar>
              <w:top w:type="dxa" w:w="80"/>
              <w:left w:type="dxa" w:w="100"/>
              <w:bottom w:type="dxa" w:w="80"/>
              <w:right w:type="dxa" w:w="100"/>
            </w:tcMar>
          </w:tcPr>
          <w:p>
            <w:pPr>
              <w:jc w:val="center"/>
            </w:pPr>
            <w:r>
              <w:rPr>
                <w:b w:val="false"/>
                <w:bCs w:val="false"/>
              </w:rPr>
              <w:t xml:space="preserve">4.1</w:t>
            </w:r>
          </w:p>
        </w:tc>
        <w:tc>
          <w:tcPr>
            <w:tcW w:type="dxa" w:w="1000"/>
            <w:tcMar>
              <w:top w:type="dxa" w:w="80"/>
              <w:left w:type="dxa" w:w="100"/>
              <w:bottom w:type="dxa" w:w="80"/>
              <w:right w:type="dxa" w:w="100"/>
            </w:tcMar>
          </w:tcPr>
          <w:p>
            <w:pPr>
              <w:jc w:val="center"/>
            </w:pPr>
            <w:r>
              <w:rPr>
                <w:b w:val="false"/>
                <w:bCs w:val="false"/>
              </w:rPr>
              <w:t xml:space="preserve">4,400</w:t>
            </w:r>
          </w:p>
        </w:tc>
        <w:tc>
          <w:tcPr>
            <w:tcW w:type="dxa" w:w="2000"/>
            <w:tcMar>
              <w:top w:type="dxa" w:w="80"/>
              <w:left w:type="dxa" w:w="100"/>
              <w:bottom w:type="dxa" w:w="80"/>
              <w:right w:type="dxa" w:w="100"/>
            </w:tcMar>
          </w:tcPr>
          <w:p>
            <w:pPr>
              <w:jc w:val="center"/>
            </w:pPr>
            <w:r>
              <w:rPr>
                <w:b w:val="false"/>
                <w:bCs w:val="false"/>
              </w:rPr>
              <w:t xml:space="preserve">Medium Growth Lead</w:t>
            </w:r>
          </w:p>
        </w:tc>
      </w:tr>
    </w:tbl>
    <w:p>
      <w:pPr>
        <w:spacing w:after="150"/>
      </w:pPr>
    </w:p>
    <w:p>
      <w:pPr>
        <w:spacing w:after="150"/>
      </w:pPr>
      <w:r>
        <w:rPr>
          <w:i/>
          <w:iCs/>
        </w:rPr>
        <w:t xml:space="preserve">Note: This list reflects the highest-review rows in the underlying dataset for each status category; the full dataset contains all 678 entries.</w:t>
      </w:r>
    </w:p>
    <w:p>
      <w:pPr>
        <w:pStyle w:val="Heading1"/>
        <w:spacing w:after="150" w:before="300"/>
      </w:pPr>
      <w:r>
        <w:t xml:space="preserve">Business Performance Highlights</w:t>
      </w:r>
    </w:p>
    <w:p>
      <w:pPr>
        <w:pStyle w:val="ListParagraph"/>
        <w:numPr>
          <w:ilvl w:val="0"/>
          <w:numId w:val="1"/>
        </w:numPr>
        <w:spacing w:after="100"/>
      </w:pPr>
      <w:r>
        <w:t xml:space="preserve">The Rating vs. Reviews pattern shows most businesses clustered at strong rating levels (around 4.2–4.9) with low-to-mid review counts, while a small number of standout venues — led by Mannat Haveli Kurukshetra at 20,000 reviews and Golden Hut Restaurants &amp; Rooms at 16,000 — pull in disproportionately high engagement.</w:t>
      </w:r>
    </w:p>
    <w:p>
      <w:pPr>
        <w:pStyle w:val="ListParagraph"/>
        <w:numPr>
          <w:ilvl w:val="0"/>
          <w:numId w:val="1"/>
        </w:numPr>
        <w:spacing w:after="100"/>
      </w:pPr>
      <w:r>
        <w:t xml:space="preserve">Cafe &amp; Restaurant businesses dominate the highest-review tier: 4 of the top 5 highest-review Critical Opportunity businesses are restaurants or dhabas, all flagged as Critical Opportunity despite strong ratings (3.9–4.9).</w:t>
      </w:r>
    </w:p>
    <w:p>
      <w:pPr>
        <w:pStyle w:val="ListParagraph"/>
        <w:numPr>
          <w:ilvl w:val="0"/>
          <w:numId w:val="1"/>
        </w:numPr>
        <w:spacing w:after="100"/>
      </w:pPr>
      <w:r>
        <w:t xml:space="preserve">This confirms that the lack of digital presence is not limited to low-performing businesses — many well-rated, high-demand businesses simply never set up a website or listed contact details.</w:t>
      </w:r>
    </w:p>
    <w:p>
      <w:pPr>
        <w:pStyle w:val="Heading1"/>
        <w:spacing w:after="150" w:before="300"/>
      </w:pPr>
      <w:r>
        <w:t xml:space="preserve">Key Insights</w:t>
      </w:r>
    </w:p>
    <w:p>
      <w:pPr>
        <w:pStyle w:val="ListParagraph"/>
        <w:numPr>
          <w:ilvl w:val="0"/>
          <w:numId w:val="1"/>
        </w:numPr>
        <w:spacing w:after="100"/>
      </w:pPr>
      <w:r>
        <w:t xml:space="preserve">49.85% of all businesses (338 of 678) are Critical Opportunities — no website or phone listed — despite operating with a citywide average rating of 4.51.</w:t>
      </w:r>
    </w:p>
    <w:p>
      <w:pPr>
        <w:pStyle w:val="ListParagraph"/>
        <w:numPr>
          <w:ilvl w:val="0"/>
          <w:numId w:val="1"/>
        </w:numPr>
        <w:spacing w:after="100"/>
      </w:pPr>
      <w:r>
        <w:t xml:space="preserve">Cafe &amp; Restaurant and Shopping &amp; Retail together account for 469 of the 678 businesses (about 69%) and 109,706 of total reviews (about 86% of all reviews citywide), making them the highest-impact sectors for a digital outreach program.</w:t>
      </w:r>
    </w:p>
    <w:p>
      <w:pPr>
        <w:pStyle w:val="ListParagraph"/>
        <w:numPr>
          <w:ilvl w:val="0"/>
          <w:numId w:val="1"/>
        </w:numPr>
        <w:spacing w:after="100"/>
      </w:pPr>
      <w:r>
        <w:t xml:space="preserve">Medical &amp; Health, while the smallest sector by count (4 businesses), has the lowest average rating (4.20) and lowest total review volume (1,172) — indicating a genuine reputation and visibility gap rather than just a digital one.</w:t>
      </w:r>
    </w:p>
    <w:p>
      <w:pPr>
        <w:pStyle w:val="ListParagraph"/>
        <w:numPr>
          <w:ilvl w:val="0"/>
          <w:numId w:val="1"/>
        </w:numPr>
        <w:spacing w:after="100"/>
      </w:pPr>
      <w:r>
        <w:t xml:space="preserve">185 businesses citywide (27.29%) have reached High Transformation Lead status — a notably stronger baseline of digital maturity than typically seen in smaller markets, suggesting real momentum to build on.</w:t>
      </w:r>
    </w:p>
    <w:p>
      <w:pPr>
        <w:pStyle w:val="ListParagraph"/>
        <w:numPr>
          <w:ilvl w:val="0"/>
          <w:numId w:val="1"/>
        </w:numPr>
        <w:spacing w:after="100"/>
      </w:pPr>
      <w:r>
        <w:t xml:space="preserve">High-review businesses like Mannat Haveli Kurukshetra (20,000 reviews) and Golden Hut Restaurants &amp; Rooms (16,000 reviews) prove that strong local demand already exists — the gap is purely in online conversion, not customer interest.</w:t>
      </w:r>
    </w:p>
    <w:p>
      <w:pPr>
        <w:pStyle w:val="ListParagraph"/>
        <w:numPr>
          <w:ilvl w:val="0"/>
          <w:numId w:val="1"/>
        </w:numPr>
        <w:spacing w:after="100"/>
      </w:pPr>
      <w:r>
        <w:t xml:space="preserve">The website gap (98.23% missing) is far more widespread than the phone-listing gap (50.59% missing), pointing to website setup as the single highest-leverage fix across nearly all sectors.</w:t>
      </w:r>
    </w:p>
    <w:p>
      <w:pPr>
        <w:pStyle w:val="Heading1"/>
        <w:spacing w:after="150" w:before="300"/>
      </w:pPr>
      <w:r>
        <w:t xml:space="preserve">Recommendations</w:t>
      </w:r>
    </w:p>
    <w:p>
      <w:pPr>
        <w:pStyle w:val="ListParagraph"/>
        <w:numPr>
          <w:ilvl w:val="0"/>
          <w:numId w:val="1"/>
        </w:numPr>
        <w:spacing w:after="100"/>
      </w:pPr>
      <w:r>
        <w:t xml:space="preserve">Prioritize the 338 Critical Opportunity businesses for outreach, starting with the Cafe &amp; Restaurant sector given its outsized review volume and concentration of high-engagement leads.</w:t>
      </w:r>
    </w:p>
    <w:p>
      <w:pPr>
        <w:pStyle w:val="ListParagraph"/>
        <w:numPr>
          <w:ilvl w:val="0"/>
          <w:numId w:val="1"/>
        </w:numPr>
        <w:spacing w:after="100"/>
      </w:pPr>
      <w:r>
        <w:t xml:space="preserve">Approach the Top Opportunity Leads list first — high-review businesses like Mannat Haveli Kurukshetra and Golden Hut Restaurants &amp; Rooms are the easiest to convert since customer trust is already established.</w:t>
      </w:r>
    </w:p>
    <w:p>
      <w:pPr>
        <w:pStyle w:val="ListParagraph"/>
        <w:numPr>
          <w:ilvl w:val="0"/>
          <w:numId w:val="1"/>
        </w:numPr>
        <w:spacing w:after="100"/>
      </w:pPr>
      <w:r>
        <w:t xml:space="preserve">Treat website creation as the top-line offer across nearly every sector, since 98.23% of businesses have no website at all, versus 50.59% missing a phone listing.</w:t>
      </w:r>
    </w:p>
    <w:p>
      <w:pPr>
        <w:pStyle w:val="ListParagraph"/>
        <w:numPr>
          <w:ilvl w:val="0"/>
          <w:numId w:val="1"/>
        </w:numPr>
        <w:spacing w:after="100"/>
      </w:pPr>
      <w:r>
        <w:t xml:space="preserve">Give Medical &amp; Health a combined package (website + review-generation support), since this small sector needs both visibility and reputation building.</w:t>
      </w:r>
    </w:p>
    <w:p>
      <w:pPr>
        <w:pStyle w:val="ListParagraph"/>
        <w:numPr>
          <w:ilvl w:val="0"/>
          <w:numId w:val="1"/>
        </w:numPr>
        <w:spacing w:after="100"/>
      </w:pPr>
      <w:r>
        <w:t xml:space="preserve">Use the 185 High Transformation Lead businesses as reference case studies and social proof when pitching Critical Opportunity businesses in the same sector.</w:t>
      </w:r>
    </w:p>
    <w:p>
      <w:pPr>
        <w:pStyle w:val="ListParagraph"/>
        <w:numPr>
          <w:ilvl w:val="0"/>
          <w:numId w:val="1"/>
        </w:numPr>
        <w:spacing w:after="100"/>
      </w:pPr>
      <w:r>
        <w:t xml:space="preserve">Track the 155 Medium Growth Lead businesses separately — they likely need smaller upgrades (SEO, updated listings, phone number addition) rather than a full digital setup.</w:t>
      </w:r>
    </w:p>
    <w:p>
      <w:pPr>
        <w:pStyle w:val="Heading1"/>
        <w:spacing w:after="150" w:before="300"/>
      </w:pPr>
      <w:r>
        <w:t xml:space="preserve">Conclusion</w:t>
      </w:r>
    </w:p>
    <w:p>
      <w:pPr>
        <w:spacing w:after="150"/>
      </w:pPr>
      <w:r>
        <w:t xml:space="preserve">Kurukshetra's local business ecosystem shows strong customer demand — reflected in a 4.51 average rating and over 128,000 total reviews — but very limited digital presence, with nearly half of businesses (49.85%) still classified as Critical Opportunities and 98.23% missing a website entirely. Cafe &amp; Restaurant represents the biggest and most immediate opportunity due to its outsized share of reviews, while Medical &amp; Health requires a more foundational push on both reputation and visibility. Targeted outreach to the identified opportunity leads, paired with the strong pool of 185 High Transformation Lead businesses as proof points, offers a practical, high-impact starting point for a digital transformation initiative.</w:t>
      </w:r>
    </w:p>
    <w:p>
      <w:pPr>
        <w:spacing w:before="200"/>
      </w:pPr>
    </w:p>
    <w:p>
      <w:r>
        <w:rPr>
          <w:i/>
          <w:iCs/>
          <w:color w:val="666666"/>
          <w:sz w:val="18"/>
          <w:szCs w:val="18"/>
        </w:rPr>
        <w:t xml:space="preserve">Report prepared by Saransh Gupta  |  Data Analysis — Kurukshetra Business Analysis Dashboard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2026-07-03T14:26:13.351Z</dcterms:created>
  <dcterms:modified xsi:type="dcterms:W3CDTF">2026-07-03T14:26:13.351Z</dcterms:modified>
</cp:coreProperties>
</file>

<file path=docProps/custom.xml><?xml version="1.0" encoding="utf-8"?>
<Properties xmlns="http://schemas.openxmlformats.org/officeDocument/2006/custom-properties" xmlns:vt="http://schemas.openxmlformats.org/officeDocument/2006/docPropsVTypes"/>
</file>