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360"/>
      </w:tblGrid>
      <w:tr>
        <w:tc>
          <w:tcPr>
            <w:tcW w:type="dxa" w:w="9360"/>
            <w:shd w:fill="1A365D"/>
            <w:tcMar>
              <w:top w:w="360" w:type="dxa"/>
              <w:bottom w:w="360" w:type="dxa"/>
              <w:left w:w="280" w:type="dxa"/>
              <w:right w:w="280" w:type="dxa"/>
            </w:tcMar>
          </w:tcPr>
          <w:p>
            <w:pPr>
              <w:spacing w:after="80"/>
            </w:pPr>
            <w:r>
              <w:rPr>
                <w:rFonts w:ascii="Arial" w:hAnsi="Arial"/>
                <w:b/>
                <w:color w:val="FFFFFF"/>
                <w:sz w:val="40"/>
              </w:rPr>
              <w:t>Strategic Recommendations &amp; Business Prioritization Report</w:t>
            </w:r>
          </w:p>
          <w:p>
            <w:pPr>
              <w:spacing w:after="0"/>
            </w:pPr>
            <w:r>
              <w:rPr>
                <w:rFonts w:ascii="Arial" w:hAnsi="Arial"/>
                <w:color w:val="E2E8F0"/>
                <w:sz w:val="22"/>
              </w:rPr>
              <w:t>Prioritizing Businesses for Digital Transformation and Sustainable Growth in Kurukshetra</w:t>
            </w:r>
          </w:p>
        </w:tc>
      </w:tr>
    </w:tbl>
    <w:p>
      <w:pPr>
        <w:spacing w:before="240"/>
      </w:pPr>
    </w:p>
    <w:p>
      <w:pPr>
        <w:keepNext/>
        <w:spacing w:before="360" w:after="160"/>
      </w:pPr>
      <w:r>
        <w:rPr>
          <w:rFonts w:ascii="Arial" w:hAnsi="Arial"/>
          <w:b/>
          <w:color w:val="1A365D"/>
          <w:sz w:val="28"/>
        </w:rPr>
        <w:t>1. Executive Summary</w:t>
      </w:r>
    </w:p>
    <w:p>
      <w:r>
        <w:t>This report provides a data-driven evaluation of the commercial ecosystem in Kurukshetra, focusing on digital adoption maturity and growth opportunities. Based on diagnostic analytics from 678 regional businesses, there is a prominent digital deficit: 98.2% of surveyed businesses (666 out of 678) lack an official web presence. Despite this gap, these businesses maintain an exceptional offline reputation, evidenced by an average customer review rating of 4.84. This analysis identifies high-yield target sectors to guide strategic investments in localized digital transformation, SEO activation, and Google Business Profile management.</w:t>
      </w:r>
    </w:p>
    <w:p>
      <w:pPr>
        <w:keepNext/>
        <w:spacing w:before="360" w:after="160"/>
      </w:pPr>
      <w:r>
        <w:rPr>
          <w:rFonts w:ascii="Arial" w:hAnsi="Arial"/>
          <w:b/>
          <w:color w:val="1A365D"/>
          <w:sz w:val="28"/>
        </w:rPr>
        <w:t>2. Key Performance Indicators</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F7FAFC"/>
            <w:tcMar>
              <w:top w:w="140" w:type="dxa"/>
              <w:bottom w:w="140" w:type="dxa"/>
              <w:left w:w="100" w:type="dxa"/>
              <w:right w:w="100" w:type="dxa"/>
            </w:tcMar>
          </w:tcPr>
          <w:p>
            <w:pPr>
              <w:spacing w:after="40"/>
              <w:jc w:val="center"/>
            </w:pPr>
            <w:r>
              <w:rPr>
                <w:b/>
                <w:color w:val="1A365D"/>
                <w:sz w:val="32"/>
              </w:rPr>
              <w:t>338</w:t>
            </w:r>
          </w:p>
          <w:p>
            <w:pPr>
              <w:spacing w:after="0"/>
              <w:jc w:val="center"/>
            </w:pPr>
            <w:r>
              <w:rPr>
                <w:color w:val="4A5568"/>
                <w:sz w:val="17"/>
              </w:rPr>
              <w:t>Critical Opportunities</w:t>
            </w:r>
          </w:p>
        </w:tc>
        <w:tc>
          <w:tcPr>
            <w:tcW w:type="dxa" w:w="2340"/>
            <w:shd w:fill="F7FAFC"/>
            <w:tcMar>
              <w:top w:w="140" w:type="dxa"/>
              <w:bottom w:w="140" w:type="dxa"/>
              <w:left w:w="100" w:type="dxa"/>
              <w:right w:w="100" w:type="dxa"/>
            </w:tcMar>
          </w:tcPr>
          <w:p>
            <w:pPr>
              <w:spacing w:after="40"/>
              <w:jc w:val="center"/>
            </w:pPr>
            <w:r>
              <w:rPr>
                <w:b/>
                <w:color w:val="1A365D"/>
                <w:sz w:val="32"/>
              </w:rPr>
              <w:t>191</w:t>
            </w:r>
          </w:p>
          <w:p>
            <w:pPr>
              <w:spacing w:after="0"/>
              <w:jc w:val="center"/>
            </w:pPr>
            <w:r>
              <w:rPr>
                <w:color w:val="4A5568"/>
                <w:sz w:val="17"/>
              </w:rPr>
              <w:t>Recommended Onboardings</w:t>
            </w:r>
          </w:p>
        </w:tc>
        <w:tc>
          <w:tcPr>
            <w:tcW w:type="dxa" w:w="2340"/>
            <w:shd w:fill="F7FAFC"/>
            <w:tcMar>
              <w:top w:w="140" w:type="dxa"/>
              <w:bottom w:w="140" w:type="dxa"/>
              <w:left w:w="100" w:type="dxa"/>
              <w:right w:w="100" w:type="dxa"/>
            </w:tcMar>
          </w:tcPr>
          <w:p>
            <w:pPr>
              <w:spacing w:after="40"/>
              <w:jc w:val="center"/>
            </w:pPr>
            <w:r>
              <w:rPr>
                <w:b/>
                <w:color w:val="1A365D"/>
                <w:sz w:val="32"/>
              </w:rPr>
              <w:t>4.84</w:t>
            </w:r>
          </w:p>
          <w:p>
            <w:pPr>
              <w:spacing w:after="0"/>
              <w:jc w:val="center"/>
            </w:pPr>
            <w:r>
              <w:rPr>
                <w:color w:val="4A5568"/>
                <w:sz w:val="17"/>
              </w:rPr>
              <w:t>Avg Customer Rating</w:t>
            </w:r>
          </w:p>
        </w:tc>
        <w:tc>
          <w:tcPr>
            <w:tcW w:type="dxa" w:w="2340"/>
            <w:shd w:fill="F7FAFC"/>
            <w:tcMar>
              <w:top w:w="140" w:type="dxa"/>
              <w:bottom w:w="140" w:type="dxa"/>
              <w:left w:w="100" w:type="dxa"/>
              <w:right w:w="100" w:type="dxa"/>
            </w:tcMar>
          </w:tcPr>
          <w:p>
            <w:pPr>
              <w:spacing w:after="40"/>
              <w:jc w:val="center"/>
            </w:pPr>
            <w:r>
              <w:rPr>
                <w:b/>
                <w:color w:val="1A365D"/>
                <w:sz w:val="32"/>
              </w:rPr>
              <w:t>24K</w:t>
            </w:r>
          </w:p>
          <w:p>
            <w:pPr>
              <w:spacing w:after="0"/>
              <w:jc w:val="center"/>
            </w:pPr>
            <w:r>
              <w:rPr>
                <w:color w:val="4A5568"/>
                <w:sz w:val="17"/>
              </w:rPr>
              <w:t>Recommended Reach</w:t>
            </w:r>
          </w:p>
        </w:tc>
      </w:tr>
    </w:tbl>
    <w:p>
      <w:pPr>
        <w:spacing w:before="240"/>
      </w:pPr>
    </w:p>
    <w:p>
      <w:pPr>
        <w:keepNext/>
        <w:spacing w:before="360" w:after="160"/>
      </w:pPr>
      <w:r>
        <w:rPr>
          <w:rFonts w:ascii="Arial" w:hAnsi="Arial"/>
          <w:b/>
          <w:color w:val="1A365D"/>
          <w:sz w:val="28"/>
        </w:rPr>
        <w:t>3. Market Segmentation &amp; Digital Gap Analysis</w:t>
      </w:r>
    </w:p>
    <w:p>
      <w:r>
        <w:t>An evaluation across key commercial sectors highlights a systemic gap in digital adoption. The table below outlines total business volume against the complete absence of web infrastructure across segments:</w:t>
      </w:r>
    </w:p>
    <w:tbl>
      <w:tblPr>
        <w:tblW w:type="auto" w:w="0"/>
        <w:tblLook w:firstColumn="1" w:firstRow="1" w:lastColumn="0" w:lastRow="0" w:noHBand="0" w:noVBand="1" w:val="04A0"/>
      </w:tblPr>
      <w:tblGrid>
        <w:gridCol w:w="2340"/>
        <w:gridCol w:w="2340"/>
        <w:gridCol w:w="2340"/>
        <w:gridCol w:w="2340"/>
      </w:tblGrid>
      <w:tr>
        <w:tc>
          <w:tcPr>
            <w:tcW w:type="dxa" w:w="2340"/>
            <w:shd w:fill="2A4365"/>
          </w:tcPr>
          <w:p>
            <w:r>
              <w:rPr>
                <w:b/>
                <w:color w:val="FFFFFF"/>
                <w:sz w:val="19"/>
              </w:rPr>
              <w:t>Industry Sector</w:t>
            </w:r>
          </w:p>
        </w:tc>
        <w:tc>
          <w:tcPr>
            <w:tcW w:type="dxa" w:w="2340"/>
            <w:shd w:fill="2A4365"/>
          </w:tcPr>
          <w:p>
            <w:r>
              <w:rPr>
                <w:b/>
                <w:color w:val="FFFFFF"/>
                <w:sz w:val="19"/>
              </w:rPr>
              <w:t>Total Surveyed</w:t>
            </w:r>
          </w:p>
        </w:tc>
        <w:tc>
          <w:tcPr>
            <w:tcW w:type="dxa" w:w="2340"/>
            <w:shd w:fill="2A4365"/>
          </w:tcPr>
          <w:p>
            <w:r>
              <w:rPr>
                <w:b/>
                <w:color w:val="FFFFFF"/>
                <w:sz w:val="19"/>
              </w:rPr>
              <w:t>Without Website</w:t>
            </w:r>
          </w:p>
        </w:tc>
        <w:tc>
          <w:tcPr>
            <w:tcW w:type="dxa" w:w="2340"/>
            <w:shd w:fill="2A4365"/>
          </w:tcPr>
          <w:p>
            <w:r>
              <w:rPr>
                <w:b/>
                <w:color w:val="FFFFFF"/>
                <w:sz w:val="19"/>
              </w:rPr>
              <w:t>Digital Deficit Rate</w:t>
            </w:r>
          </w:p>
        </w:tc>
      </w:tr>
      <w:tr>
        <w:tc>
          <w:tcPr>
            <w:tcW w:type="dxa" w:w="2340"/>
          </w:tcPr>
          <w:p>
            <w:r>
              <w:rPr>
                <w:sz w:val="19"/>
              </w:rPr>
              <w:t>Shopping &amp; Retail</w:t>
            </w:r>
          </w:p>
        </w:tc>
        <w:tc>
          <w:tcPr>
            <w:tcW w:type="dxa" w:w="2340"/>
          </w:tcPr>
          <w:p>
            <w:r>
              <w:rPr>
                <w:sz w:val="19"/>
              </w:rPr>
              <w:t>311</w:t>
            </w:r>
          </w:p>
        </w:tc>
        <w:tc>
          <w:tcPr>
            <w:tcW w:type="dxa" w:w="2340"/>
          </w:tcPr>
          <w:p>
            <w:r>
              <w:rPr>
                <w:sz w:val="19"/>
              </w:rPr>
              <w:t>307</w:t>
            </w:r>
          </w:p>
        </w:tc>
        <w:tc>
          <w:tcPr>
            <w:tcW w:type="dxa" w:w="2340"/>
          </w:tcPr>
          <w:p>
            <w:r>
              <w:rPr>
                <w:sz w:val="19"/>
              </w:rPr>
              <w:t>98.7%</w:t>
            </w:r>
          </w:p>
        </w:tc>
      </w:tr>
      <w:tr>
        <w:tc>
          <w:tcPr>
            <w:tcW w:type="dxa" w:w="2340"/>
            <w:shd w:fill="F7FAFC"/>
          </w:tcPr>
          <w:p>
            <w:r>
              <w:rPr>
                <w:sz w:val="19"/>
              </w:rPr>
              <w:t>Cafe &amp; Restaurant</w:t>
            </w:r>
          </w:p>
        </w:tc>
        <w:tc>
          <w:tcPr>
            <w:tcW w:type="dxa" w:w="2340"/>
            <w:shd w:fill="F7FAFC"/>
          </w:tcPr>
          <w:p>
            <w:r>
              <w:rPr>
                <w:sz w:val="19"/>
              </w:rPr>
              <w:t>158</w:t>
            </w:r>
          </w:p>
        </w:tc>
        <w:tc>
          <w:tcPr>
            <w:tcW w:type="dxa" w:w="2340"/>
            <w:shd w:fill="F7FAFC"/>
          </w:tcPr>
          <w:p>
            <w:r>
              <w:rPr>
                <w:sz w:val="19"/>
              </w:rPr>
              <w:t>153</w:t>
            </w:r>
          </w:p>
        </w:tc>
        <w:tc>
          <w:tcPr>
            <w:tcW w:type="dxa" w:w="2340"/>
            <w:shd w:fill="F7FAFC"/>
          </w:tcPr>
          <w:p>
            <w:r>
              <w:rPr>
                <w:sz w:val="19"/>
              </w:rPr>
              <w:t>96.8%</w:t>
            </w:r>
          </w:p>
        </w:tc>
      </w:tr>
      <w:tr>
        <w:tc>
          <w:tcPr>
            <w:tcW w:type="dxa" w:w="2340"/>
          </w:tcPr>
          <w:p>
            <w:r>
              <w:rPr>
                <w:sz w:val="19"/>
              </w:rPr>
              <w:t>Salon &amp; Beauty</w:t>
            </w:r>
          </w:p>
        </w:tc>
        <w:tc>
          <w:tcPr>
            <w:tcW w:type="dxa" w:w="2340"/>
          </w:tcPr>
          <w:p>
            <w:r>
              <w:rPr>
                <w:sz w:val="19"/>
              </w:rPr>
              <w:t>96</w:t>
            </w:r>
          </w:p>
        </w:tc>
        <w:tc>
          <w:tcPr>
            <w:tcW w:type="dxa" w:w="2340"/>
          </w:tcPr>
          <w:p>
            <w:r>
              <w:rPr>
                <w:sz w:val="19"/>
              </w:rPr>
              <w:t>96</w:t>
            </w:r>
          </w:p>
        </w:tc>
        <w:tc>
          <w:tcPr>
            <w:tcW w:type="dxa" w:w="2340"/>
          </w:tcPr>
          <w:p>
            <w:r>
              <w:rPr>
                <w:sz w:val="19"/>
              </w:rPr>
              <w:t>100.0%</w:t>
            </w:r>
          </w:p>
        </w:tc>
      </w:tr>
      <w:tr>
        <w:tc>
          <w:tcPr>
            <w:tcW w:type="dxa" w:w="2340"/>
            <w:shd w:fill="F7FAFC"/>
          </w:tcPr>
          <w:p>
            <w:r>
              <w:rPr>
                <w:sz w:val="19"/>
              </w:rPr>
              <w:t>Fitness &amp; Sports</w:t>
            </w:r>
          </w:p>
        </w:tc>
        <w:tc>
          <w:tcPr>
            <w:tcW w:type="dxa" w:w="2340"/>
            <w:shd w:fill="F7FAFC"/>
          </w:tcPr>
          <w:p>
            <w:r>
              <w:rPr>
                <w:sz w:val="19"/>
              </w:rPr>
              <w:t>56</w:t>
            </w:r>
          </w:p>
        </w:tc>
        <w:tc>
          <w:tcPr>
            <w:tcW w:type="dxa" w:w="2340"/>
            <w:shd w:fill="F7FAFC"/>
          </w:tcPr>
          <w:p>
            <w:r>
              <w:rPr>
                <w:sz w:val="19"/>
              </w:rPr>
              <w:t>54</w:t>
            </w:r>
          </w:p>
        </w:tc>
        <w:tc>
          <w:tcPr>
            <w:tcW w:type="dxa" w:w="2340"/>
            <w:shd w:fill="F7FAFC"/>
          </w:tcPr>
          <w:p>
            <w:r>
              <w:rPr>
                <w:sz w:val="19"/>
              </w:rPr>
              <w:t>96.4%</w:t>
            </w:r>
          </w:p>
        </w:tc>
      </w:tr>
      <w:tr>
        <w:tc>
          <w:tcPr>
            <w:tcW w:type="dxa" w:w="2340"/>
          </w:tcPr>
          <w:p>
            <w:r>
              <w:rPr>
                <w:sz w:val="19"/>
              </w:rPr>
              <w:t>Property Services</w:t>
            </w:r>
          </w:p>
        </w:tc>
        <w:tc>
          <w:tcPr>
            <w:tcW w:type="dxa" w:w="2340"/>
          </w:tcPr>
          <w:p>
            <w:r>
              <w:rPr>
                <w:sz w:val="19"/>
              </w:rPr>
              <w:t>53</w:t>
            </w:r>
          </w:p>
        </w:tc>
        <w:tc>
          <w:tcPr>
            <w:tcW w:type="dxa" w:w="2340"/>
          </w:tcPr>
          <w:p>
            <w:r>
              <w:rPr>
                <w:sz w:val="19"/>
              </w:rPr>
              <w:t>53</w:t>
            </w:r>
          </w:p>
        </w:tc>
        <w:tc>
          <w:tcPr>
            <w:tcW w:type="dxa" w:w="2340"/>
          </w:tcPr>
          <w:p>
            <w:r>
              <w:rPr>
                <w:sz w:val="19"/>
              </w:rPr>
              <w:t>100.0%</w:t>
            </w:r>
          </w:p>
        </w:tc>
      </w:tr>
      <w:tr>
        <w:tc>
          <w:tcPr>
            <w:tcW w:type="dxa" w:w="2340"/>
            <w:shd w:fill="F7FAFC"/>
          </w:tcPr>
          <w:p>
            <w:r>
              <w:rPr>
                <w:sz w:val="19"/>
              </w:rPr>
              <w:t>Medical &amp; Health</w:t>
            </w:r>
          </w:p>
        </w:tc>
        <w:tc>
          <w:tcPr>
            <w:tcW w:type="dxa" w:w="2340"/>
            <w:shd w:fill="F7FAFC"/>
          </w:tcPr>
          <w:p>
            <w:r>
              <w:rPr>
                <w:sz w:val="19"/>
              </w:rPr>
              <w:t>4</w:t>
            </w:r>
          </w:p>
        </w:tc>
        <w:tc>
          <w:tcPr>
            <w:tcW w:type="dxa" w:w="2340"/>
            <w:shd w:fill="F7FAFC"/>
          </w:tcPr>
          <w:p>
            <w:r>
              <w:rPr>
                <w:sz w:val="19"/>
              </w:rPr>
              <w:t>3</w:t>
            </w:r>
          </w:p>
        </w:tc>
        <w:tc>
          <w:tcPr>
            <w:tcW w:type="dxa" w:w="2340"/>
            <w:shd w:fill="F7FAFC"/>
          </w:tcPr>
          <w:p>
            <w:r>
              <w:rPr>
                <w:sz w:val="19"/>
              </w:rPr>
              <w:t>75.0%</w:t>
            </w:r>
          </w:p>
        </w:tc>
      </w:tr>
      <w:tr>
        <w:tc>
          <w:tcPr>
            <w:tcW w:type="dxa" w:w="2340"/>
            <w:shd w:fill="EDF2F7"/>
          </w:tcPr>
          <w:p>
            <w:r>
              <w:rPr>
                <w:b/>
                <w:sz w:val="19"/>
              </w:rPr>
              <w:t>Aggregate Total</w:t>
            </w:r>
          </w:p>
        </w:tc>
        <w:tc>
          <w:tcPr>
            <w:tcW w:type="dxa" w:w="2340"/>
            <w:shd w:fill="EDF2F7"/>
          </w:tcPr>
          <w:p>
            <w:r>
              <w:rPr>
                <w:b/>
                <w:sz w:val="19"/>
              </w:rPr>
              <w:t>678</w:t>
            </w:r>
          </w:p>
        </w:tc>
        <w:tc>
          <w:tcPr>
            <w:tcW w:type="dxa" w:w="2340"/>
            <w:shd w:fill="EDF2F7"/>
          </w:tcPr>
          <w:p>
            <w:r>
              <w:rPr>
                <w:b/>
                <w:sz w:val="19"/>
              </w:rPr>
              <w:t>666</w:t>
            </w:r>
          </w:p>
        </w:tc>
        <w:tc>
          <w:tcPr>
            <w:tcW w:type="dxa" w:w="2340"/>
            <w:shd w:fill="EDF2F7"/>
          </w:tcPr>
          <w:p>
            <w:r>
              <w:rPr>
                <w:b/>
                <w:sz w:val="19"/>
              </w:rPr>
              <w:t>98.2%</w:t>
            </w:r>
          </w:p>
        </w:tc>
      </w:tr>
    </w:tbl>
    <w:p>
      <w:pPr>
        <w:spacing w:before="240"/>
      </w:pPr>
    </w:p>
    <w:p>
      <w:pPr>
        <w:keepNext/>
        <w:spacing w:before="360" w:after="160"/>
      </w:pPr>
      <w:r>
        <w:rPr>
          <w:rFonts w:ascii="Arial" w:hAnsi="Arial"/>
          <w:b/>
          <w:color w:val="1A365D"/>
          <w:sz w:val="28"/>
        </w:rPr>
        <w:t>4. Core Insights &amp; Diagnostic Findings</w:t>
      </w:r>
    </w:p>
    <w:p>
      <w:pPr>
        <w:pStyle w:val="ListBullet"/>
      </w:pPr>
      <w:r>
        <w:t>Unrealized Offline Equity: Kurukshetra's commercial market holds strong offline brand equity, as shown by the high 4.84 out of 5.00 average rating. This organic reputation is isolated from global digital discovery due to missing web endpoints.</w:t>
      </w:r>
    </w:p>
    <w:p>
      <w:pPr>
        <w:pStyle w:val="ListBullet"/>
      </w:pPr>
      <w:r>
        <w:t>High-Density Vulnerabilities: The Shopping &amp; Retail and Food &amp; Beverage (Cafes/Restaurants) sectors represent the highest market share, collectively accounting for 469 businesses. Over 97% of these remain digitally invisible.</w:t>
      </w:r>
    </w:p>
    <w:p>
      <w:pPr>
        <w:pStyle w:val="ListBullet"/>
      </w:pPr>
      <w:r>
        <w:t>Complete Digital Gaps: The Salon &amp; Beauty (96 businesses) and Property Services (53 businesses) sectors show a 100% absence of websites, making them high-priority opportunities for immediate digital onboarding.</w:t>
      </w:r>
    </w:p>
    <w:tbl>
      <w:tblPr>
        <w:tblW w:type="auto" w:w="0"/>
        <w:tblLook w:firstColumn="1" w:firstRow="1" w:lastColumn="0" w:lastRow="0" w:noHBand="0" w:noVBand="1" w:val="04A0"/>
      </w:tblPr>
      <w:tblGrid>
        <w:gridCol w:w="9360"/>
      </w:tblGrid>
      <w:tr>
        <w:tc>
          <w:tcPr>
            <w:tcW w:type="dxa" w:w="9360"/>
            <w:shd w:fill="FFFAF0"/>
          </w:tcPr>
          <w:p>
            <w:r>
              <w:rPr>
                <w:i/>
                <w:sz w:val="20"/>
              </w:rPr>
              <w:t>Strategic Implications: Translating local offline reputations into structured online assets will immediately capture high-intent search volumes, scale customer acquisition channels, and drive regional economic development.</w:t>
            </w:r>
          </w:p>
        </w:tc>
      </w:tr>
    </w:tbl>
    <w:p>
      <w:pPr>
        <w:spacing w:before="240"/>
      </w:pPr>
    </w:p>
    <w:p>
      <w:pPr>
        <w:keepNext/>
        <w:spacing w:before="360" w:after="160"/>
      </w:pPr>
      <w:r>
        <w:rPr>
          <w:rFonts w:ascii="Arial" w:hAnsi="Arial"/>
          <w:b/>
          <w:color w:val="1A365D"/>
          <w:sz w:val="28"/>
        </w:rPr>
        <w:t>5. Strategic Framework &amp; Implementation Roadmap</w:t>
      </w:r>
    </w:p>
    <w:p>
      <w:pPr>
        <w:pStyle w:val="ListNumber"/>
      </w:pPr>
      <w:r>
        <w:t>Targeted Web Architecture Deployment: Prioritize web deployment for high-rated businesses (4.5+ stars) that currently lack an online presence to stabilize and convert existing offline momentum into digital visibility.</w:t>
      </w:r>
    </w:p>
    <w:p>
      <w:pPr>
        <w:pStyle w:val="ListNumber"/>
      </w:pPr>
      <w:r>
        <w:t>Sector-Specific Rollout: Direct localized transformation campaigns toward high-density segments, specifically Shopping &amp; Retail and Cafe &amp; Restaurant, to maximize regional impact.</w:t>
      </w:r>
    </w:p>
    <w:p>
      <w:pPr>
        <w:pStyle w:val="ListNumber"/>
      </w:pPr>
      <w:r>
        <w:t>Google Business Profile Optimization: Implement a mandatory program to update and verify Google Business Listings, ensuring accurate geocoding, operating hours, and customer review response flows.</w:t>
      </w:r>
    </w:p>
    <w:p>
      <w:pPr>
        <w:pStyle w:val="ListNumber"/>
      </w:pPr>
      <w:r>
        <w:t>Hyper-Local SEO &amp; Discovery Investment: Deploy structured citation building, local listings management, and localized search engine optimization to connect high-intent regional consumers with newly onboarded digital businesses.</w:t>
      </w:r>
    </w:p>
    <w:p>
      <w:pPr>
        <w:pStyle w:val="ListNumber"/>
      </w:pPr>
      <w:r>
        <w:t>Reputation Lifecycle Management: Establish robust, continuous review monitoring systems to protect and leverage the existing 4.84 rating benchmark across digital platforms.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