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4D122B">
      <w:bookmarkStart w:id="0" w:name="_GoBack"/>
      <w:bookmarkEnd w:id="0"/>
      <w:r>
        <w:br w:type="page"/>
      </w:r>
    </w:p>
    <w:p w14:paraId="52341EF5">
      <w:pPr>
        <w:pStyle w:val="2"/>
      </w:pPr>
      <w:r>
        <w:t>CHAPTER 5 – DATA PREPROCESSING &amp; FEATURE ENGINEERING</w:t>
      </w:r>
    </w:p>
    <w:p w14:paraId="2B4DA706">
      <w:pPr>
        <w:pStyle w:val="3"/>
      </w:pPr>
      <w:r>
        <w:t>5.1 Data Cleaning</w:t>
      </w:r>
    </w:p>
    <w:p w14:paraId="2BB73F8F">
      <w:r>
        <w:t xml:space="preserve">All cleaning logic lives in a single shared module, </w:t>
      </w:r>
      <w:r>
        <w:rPr>
          <w:rFonts w:ascii="Consolas" w:hAnsi="Consolas"/>
          <w:sz w:val="19"/>
        </w:rPr>
        <w:t>pdm_common.py</w:t>
      </w:r>
      <w:r>
        <w:t xml:space="preserve">, so that training and the deployed Streamlit app run through </w:t>
      </w:r>
      <w:r>
        <w:rPr>
          <w:b/>
        </w:rPr>
        <w:t>exactly the same</w:t>
      </w:r>
      <w:r>
        <w:t xml:space="preserve"> code path (zero train/serve skew). Cleaning is executed in notebooks </w:t>
      </w:r>
      <w:r>
        <w:rPr>
          <w:rFonts w:ascii="Consolas" w:hAnsi="Consolas"/>
          <w:sz w:val="19"/>
        </w:rPr>
        <w:t>01_load_harmonize_clean.ipynb</w:t>
      </w:r>
      <w:r>
        <w:t xml:space="preserve"> and </w:t>
      </w:r>
      <w:r>
        <w:rPr>
          <w:rFonts w:ascii="Consolas" w:hAnsi="Consolas"/>
          <w:sz w:val="19"/>
        </w:rPr>
        <w:t>02b_validate_channels.ipynb</w:t>
      </w:r>
      <w:r>
        <w:t>, and proceeds in five stages:</w:t>
      </w:r>
    </w:p>
    <w:p w14:paraId="19A49BF0">
      <w:r>
        <w:rPr>
          <w:b/>
        </w:rPr>
        <w:t>1. Column harmonization and unit conversion.</w:t>
      </w:r>
      <w:r>
        <w:t xml:space="preserve"> The raw Simulink/Simscape exports (</w:t>
      </w:r>
      <w:r>
        <w:rPr>
          <w:rFonts w:ascii="Consolas" w:hAnsi="Consolas"/>
          <w:sz w:val="19"/>
        </w:rPr>
        <w:t>.xlsx</w:t>
      </w:r>
      <w:r>
        <w:t xml:space="preserve"> / </w:t>
      </w:r>
      <w:r>
        <w:rPr>
          <w:rFonts w:ascii="Consolas" w:hAnsi="Consolas"/>
          <w:sz w:val="19"/>
        </w:rPr>
        <w:t>.csv</w:t>
      </w:r>
      <w:r>
        <w:t xml:space="preserve">) name the same physical channel differently across the 12 simulation runs — suffixes such as </w:t>
      </w:r>
      <w:r>
        <w:rPr>
          <w:rFonts w:ascii="Consolas" w:hAnsi="Consolas"/>
          <w:sz w:val="19"/>
        </w:rPr>
        <w:t>:1</w:t>
      </w:r>
      <w:r>
        <w:t xml:space="preserve">, generic </w:t>
      </w:r>
      <w:r>
        <w:rPr>
          <w:rFonts w:ascii="Consolas" w:hAnsi="Consolas"/>
          <w:sz w:val="19"/>
        </w:rPr>
        <w:t>PS-Simulink Converter</w:t>
      </w:r>
      <w:r>
        <w:t xml:space="preserve"> labels, and inconsistent capitalisation. A suffix/whitespace-tolerant resolver maps every export scheme onto one canonical channel set (</w:t>
      </w:r>
      <w:r>
        <w:rPr>
          <w:rFonts w:ascii="Consolas" w:hAnsi="Consolas"/>
          <w:sz w:val="19"/>
        </w:rPr>
        <w:t>pressure</w:t>
      </w:r>
      <w:r>
        <w:t xml:space="preserve">, </w:t>
      </w:r>
      <w:r>
        <w:rPr>
          <w:rFonts w:ascii="Consolas" w:hAnsi="Consolas"/>
          <w:sz w:val="19"/>
        </w:rPr>
        <w:t>current</w:t>
      </w:r>
      <w:r>
        <w:t xml:space="preserve">, </w:t>
      </w:r>
      <w:r>
        <w:rPr>
          <w:rFonts w:ascii="Consolas" w:hAnsi="Consolas"/>
          <w:sz w:val="19"/>
        </w:rPr>
        <w:t>vdc</w:t>
      </w:r>
      <w:r>
        <w:t xml:space="preserve">, </w:t>
      </w:r>
      <w:r>
        <w:rPr>
          <w:rFonts w:ascii="Consolas" w:hAnsi="Consolas"/>
          <w:sz w:val="19"/>
        </w:rPr>
        <w:t>vac</w:t>
      </w:r>
      <w:r>
        <w:t xml:space="preserve">, </w:t>
      </w:r>
      <w:r>
        <w:rPr>
          <w:rFonts w:ascii="Consolas" w:hAnsi="Consolas"/>
          <w:sz w:val="19"/>
        </w:rPr>
        <w:t>speed</w:t>
      </w:r>
      <w:r>
        <w:t xml:space="preserve">, </w:t>
      </w:r>
      <w:r>
        <w:rPr>
          <w:rFonts w:ascii="Consolas" w:hAnsi="Consolas"/>
          <w:sz w:val="19"/>
        </w:rPr>
        <w:t>torque</w:t>
      </w:r>
      <w:r>
        <w:t xml:space="preserve">, </w:t>
      </w:r>
      <w:r>
        <w:rPr>
          <w:rFonts w:ascii="Consolas" w:hAnsi="Consolas"/>
          <w:sz w:val="19"/>
        </w:rPr>
        <w:t>flow</w:t>
      </w:r>
      <w:r>
        <w:t xml:space="preserve">, </w:t>
      </w:r>
      <w:r>
        <w:rPr>
          <w:rFonts w:ascii="Consolas" w:hAnsi="Consolas"/>
          <w:sz w:val="19"/>
        </w:rPr>
        <w:t>fuel</w:t>
      </w:r>
      <w:r>
        <w:t xml:space="preserve">, </w:t>
      </w:r>
      <w:r>
        <w:rPr>
          <w:rFonts w:ascii="Consolas" w:hAnsi="Consolas"/>
          <w:sz w:val="19"/>
        </w:rPr>
        <w:t>time</w:t>
      </w:r>
      <w:r>
        <w:t xml:space="preserve">) with unit conversion where required (e.g. Pa → bar). Every accept/reject decision is logged, per channel and per file, in </w:t>
      </w:r>
      <w:r>
        <w:rPr>
          <w:rFonts w:ascii="Consolas" w:hAnsi="Consolas"/>
          <w:sz w:val="19"/>
        </w:rPr>
        <w:t>artifacts/channel_validation.csv</w:t>
      </w:r>
      <w:r>
        <w:t xml:space="preserve"> — nothing is dropped silently.</w:t>
      </w:r>
    </w:p>
    <w:p w14:paraId="41898D28">
      <w:r>
        <w:rPr>
          <w:b/>
        </w:rPr>
        <w:t>2. Duplicate removal.</w:t>
      </w:r>
      <w:r>
        <w:t xml:space="preserve"> Exact duplicate rows and duplicate timestamps within a run are counted and removed; duplicated samples would otherwise double-weight sections of the signal and corrupt the resampling step.</w:t>
      </w:r>
    </w:p>
    <w:p w14:paraId="76971BB8">
      <w:r>
        <w:rPr>
          <w:b/>
        </w:rPr>
        <w:t>3. Physically-impossible value sanitisation.</w:t>
      </w:r>
      <w:r>
        <w:t xml:space="preserve"> Values that violate physics — negative pressure, negative flow, negative fuel rate — are flagged as missing (</w:t>
      </w:r>
      <w:r>
        <w:rPr>
          <w:rFonts w:ascii="Consolas" w:hAnsi="Consolas"/>
          <w:sz w:val="19"/>
        </w:rPr>
        <w:t>NaN</w:t>
      </w:r>
      <w:r>
        <w:t>) rather than clipped or silently kept. This bound is a physics fact (≥ 0), not a tuned threshold, so it cannot overfit the data. Flagged values are filled by the same interpolation path used for any other missing sample.</w:t>
      </w:r>
    </w:p>
    <w:p w14:paraId="7A404D00">
      <w:r>
        <w:rPr>
          <w:b/>
        </w:rPr>
        <w:t>4. Uniform resampling to 10 kHz.</w:t>
      </w:r>
      <w:r>
        <w:t xml:space="preserve"> The Simulink variable-step solver produces non-uniform timestamps; every channel is linearly interpolated onto one common 10 kHz grid starting at t = 0.05 s (discarding the solver's non-physical start-up transient). A constant sampling rate is required downstream for the spectral and windowed features (§5.4).</w:t>
      </w:r>
    </w:p>
    <w:p w14:paraId="6649D671">
      <w:r>
        <w:rPr>
          <w:b/>
        </w:rPr>
        <w:t>5. Outlier clipping — Hampel filter.</w:t>
      </w:r>
      <w:r>
        <w:t xml:space="preserve"> A rolling-median filter replaces any sample further than a robust threshold (median ± k·MAD) from its local neighbourhood. This was chosen over a low-pass or mean-smoothing filter specifically because it removes isolated solver spikes </w:t>
      </w:r>
      <w:r>
        <w:rPr>
          <w:b/>
        </w:rPr>
        <w:t>without smoothing over genuine fault dynamics</w:t>
      </w:r>
      <w:r>
        <w:t xml:space="preserve"> — a real step change in the signal survives; a one-sample glitch does not. Limitation: a burst of several consecutive bad samples would only be partially corrected.</w:t>
      </w:r>
    </w:p>
    <w:p w14:paraId="0B2CA95F">
      <w:r>
        <w:rPr>
          <w:b/>
        </w:rPr>
        <w:t>6. Constant-column and low-variance filtering.</w:t>
      </w:r>
      <w:r>
        <w:t xml:space="preserve"> A channel is dropped only if it is constant across the </w:t>
      </w:r>
      <w:r>
        <w:rPr>
          <w:b/>
        </w:rPr>
        <w:t>entire dataset</w:t>
      </w:r>
      <w:r>
        <w:t xml:space="preserve"> (a channel that is flat in just one run is retained, since it may still be informative in others). After feature extraction, features with near-zero variance across all windows are removed as well, since they carry no class information and only add noise dimensions to the Stage‑1 covariance estimate (§8 of the main report).</w:t>
      </w:r>
    </w:p>
    <w:p w14:paraId="681C0A06">
      <w:pPr>
        <w:jc w:val="center"/>
      </w:pPr>
      <w:r>
        <w:drawing>
          <wp:inline distT="0" distB="0" distL="114300" distR="114300">
            <wp:extent cx="5303520" cy="270891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EFC3">
      <w:pPr>
        <w:spacing w:after="240"/>
        <w:jc w:val="center"/>
      </w:pPr>
      <w:r>
        <w:rPr>
          <w:b/>
          <w:sz w:val="21"/>
        </w:rPr>
        <w:t>Figure 5.1: Cleaned Signals — Healthy Run vs. Leakage Fault Run</w:t>
      </w:r>
    </w:p>
    <w:p w14:paraId="17B58CCF">
      <w:r>
        <w:t xml:space="preserve">Two data-quality defects were also caught (and are tracked, not silently patched): </w:t>
      </w:r>
      <w:r>
        <w:rPr>
          <w:rFonts w:ascii="Consolas" w:hAnsi="Consolas"/>
          <w:sz w:val="19"/>
        </w:rPr>
        <w:t>Leakage_factor.xlsx</w:t>
      </w:r>
      <w:r>
        <w:t xml:space="preserve"> has column labels that appear scrambled at source (its </w:t>
      </w:r>
      <w:r>
        <w:rPr>
          <w:rFonts w:ascii="Consolas" w:hAnsi="Consolas"/>
          <w:sz w:val="19"/>
        </w:rPr>
        <w:t>Load_Current</w:t>
      </w:r>
      <w:r>
        <w:t xml:space="preserve"> range matches the *torque* range of the CSV leakage runs), and one </w:t>
      </w:r>
      <w:r>
        <w:rPr>
          <w:rFonts w:ascii="Consolas" w:hAnsi="Consolas"/>
          <w:sz w:val="19"/>
        </w:rPr>
        <w:t>simplified_generator_fault</w:t>
      </w:r>
      <w:r>
        <w:t xml:space="preserve"> run was exported with different Simulink settings than its two sibling runs — both are flagged as data-collection issues, not pipeline bugs.</w:t>
      </w:r>
    </w:p>
    <w:p w14:paraId="5998EF6A">
      <w:pPr>
        <w:pStyle w:val="3"/>
      </w:pPr>
      <w:r>
        <w:t>5.2 Windowing Strategy</w:t>
      </w:r>
    </w:p>
    <w:p w14:paraId="67A8ABD7">
      <w:r>
        <w:t xml:space="preserve">After cleaning, each run is cut into </w:t>
      </w:r>
      <w:r>
        <w:rPr>
          <w:b/>
        </w:rPr>
        <w:t>0.02 s windows of 200 samples with 50% overlap</w:t>
      </w:r>
      <w:r>
        <w:t>, taken only from the fault-active region (t ≥ 0.1 s, i.e. after the fault injection instant). Each window inherits the label of its parent run. A run must yield at least 3 complete windows to be usable at all.</w:t>
      </w:r>
    </w:p>
    <w:p w14:paraId="15403C0E">
      <w:pPr>
        <w:pStyle w:val="23"/>
      </w:pPr>
      <w:r>
        <w:rPr>
          <w:b/>
        </w:rPr>
        <w:t>Why windows, not whole runs?</w:t>
      </w:r>
      <w:r>
        <w:t xml:space="preserve"> Twelve raw runs would give only twelve</w:t>
      </w:r>
    </w:p>
    <w:p w14:paraId="38B0F7BC">
      <w:r>
        <w:t>training examples — far too few to fit or validate a classifier. Windowing multiplies the sample count while each window still spans several electrical/hydraulic cycles at the 10 kHz sampling rate.</w:t>
      </w:r>
    </w:p>
    <w:p w14:paraId="1CB70E47">
      <w:pPr>
        <w:pStyle w:val="23"/>
      </w:pPr>
      <w:r>
        <w:rPr>
          <w:b/>
        </w:rPr>
        <w:t>Why 50% overlap?</w:t>
      </w:r>
      <w:r>
        <w:t xml:space="preserve"> Standard practice in vibration/condition monitoring —</w:t>
      </w:r>
    </w:p>
    <w:p w14:paraId="34F6DB61">
      <w:r>
        <w:t>it doubles the sample count and guarantees no transient of interest falls exactly on a window boundary.</w:t>
      </w:r>
    </w:p>
    <w:p w14:paraId="0DDD5943">
      <w:pPr>
        <w:pStyle w:val="23"/>
      </w:pPr>
      <w:r>
        <w:rPr>
          <w:b/>
        </w:rPr>
        <w:t>Known limitation, addressed downstream:</w:t>
      </w:r>
      <w:r>
        <w:t xml:space="preserve"> overlapping windows from the</w:t>
      </w:r>
    </w:p>
    <w:p w14:paraId="155B060B">
      <w:r>
        <w:t xml:space="preserve">same run are statistically dependent (near-duplicates of each other, same operating point, same noise seed). This is precisely why validation is never done by randomly splitting windows, but by </w:t>
      </w:r>
      <w:r>
        <w:rPr>
          <w:b/>
        </w:rPr>
        <w:t>leave-one-run-out</w:t>
      </w:r>
      <w:r>
        <w:t xml:space="preserve"> cross-validation (Chapter 7).</w:t>
      </w:r>
    </w:p>
    <w:p w14:paraId="212A55AB">
      <w:r>
        <w:rPr>
          <w:b/>
        </w:rPr>
        <w:t>Resulting window counts per run</w:t>
      </w:r>
      <w:r>
        <w:t xml:space="preserve"> (</w:t>
      </w:r>
      <w:r>
        <w:rPr>
          <w:rFonts w:ascii="Consolas" w:hAnsi="Consolas"/>
          <w:sz w:val="19"/>
        </w:rPr>
        <w:t>artifacts/window_counts.csv</w:t>
      </w:r>
      <w:r>
        <w:t>):</w:t>
      </w:r>
    </w:p>
    <w:p w14:paraId="6B03999A">
      <w:pPr>
        <w:spacing w:after="240"/>
        <w:jc w:val="center"/>
      </w:pPr>
      <w:r>
        <w:rPr>
          <w:b/>
          <w:sz w:val="21"/>
        </w:rPr>
        <w:t>Table 5.1: Analysis Windows per Class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D0B18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3135" w:type="dxa"/>
            <w:shd w:val="clear" w:color="auto" w:fill="2F5496"/>
          </w:tcPr>
          <w:p w14:paraId="4DAF8EBB">
            <w:pPr>
              <w:spacing w:after="0" w:line="240" w:lineRule="auto"/>
            </w:pPr>
            <w:r>
              <w:rPr>
                <w:b/>
                <w:color w:val="FFFFFF"/>
              </w:rPr>
              <w:t>Class</w:t>
            </w:r>
          </w:p>
        </w:tc>
        <w:tc>
          <w:tcPr>
            <w:tcW w:w="3135" w:type="dxa"/>
            <w:shd w:val="clear" w:color="auto" w:fill="2F5496"/>
          </w:tcPr>
          <w:p w14:paraId="71EE4BCD">
            <w:pPr>
              <w:spacing w:after="0" w:line="240" w:lineRule="auto"/>
            </w:pPr>
            <w:r>
              <w:rPr>
                <w:b/>
                <w:color w:val="FFFFFF"/>
              </w:rPr>
              <w:t>Runs contributing</w:t>
            </w:r>
          </w:p>
        </w:tc>
        <w:tc>
          <w:tcPr>
            <w:tcW w:w="3135" w:type="dxa"/>
            <w:shd w:val="clear" w:color="auto" w:fill="2F5496"/>
          </w:tcPr>
          <w:p w14:paraId="7CC5004E">
            <w:pPr>
              <w:spacing w:after="0" w:line="240" w:lineRule="auto"/>
            </w:pPr>
            <w:r>
              <w:rPr>
                <w:b/>
                <w:color w:val="FFFFFF"/>
              </w:rPr>
              <w:t>Windows</w:t>
            </w:r>
          </w:p>
        </w:tc>
      </w:tr>
      <w:tr w14:paraId="564903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7F54BC9">
            <w:pPr>
              <w:spacing w:after="0" w:line="240" w:lineRule="auto"/>
            </w:pPr>
            <w:r>
              <w:t>PumpDisplacement</w:t>
            </w:r>
          </w:p>
        </w:tc>
        <w:tc>
          <w:tcPr>
            <w:tcW w:w="3135" w:type="dxa"/>
          </w:tcPr>
          <w:p w14:paraId="44D81361">
            <w:pPr>
              <w:spacing w:after="0" w:line="240" w:lineRule="auto"/>
            </w:pPr>
            <w:r>
              <w:t>4</w:t>
            </w:r>
          </w:p>
        </w:tc>
        <w:tc>
          <w:tcPr>
            <w:tcW w:w="3135" w:type="dxa"/>
          </w:tcPr>
          <w:p w14:paraId="28BA73AA">
            <w:pPr>
              <w:spacing w:after="0" w:line="240" w:lineRule="auto"/>
            </w:pPr>
            <w:r>
              <w:t>96</w:t>
            </w:r>
          </w:p>
        </w:tc>
      </w:tr>
      <w:tr w14:paraId="0B9027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8669A31">
            <w:pPr>
              <w:spacing w:after="0" w:line="240" w:lineRule="auto"/>
            </w:pPr>
            <w:r>
              <w:t>GeneratorFault</w:t>
            </w:r>
          </w:p>
        </w:tc>
        <w:tc>
          <w:tcPr>
            <w:tcW w:w="3135" w:type="dxa"/>
          </w:tcPr>
          <w:p w14:paraId="066EFC50">
            <w:pPr>
              <w:spacing w:after="0" w:line="240" w:lineRule="auto"/>
            </w:pPr>
            <w:r>
              <w:t>3</w:t>
            </w:r>
          </w:p>
        </w:tc>
        <w:tc>
          <w:tcPr>
            <w:tcW w:w="3135" w:type="dxa"/>
          </w:tcPr>
          <w:p w14:paraId="7562F54A">
            <w:pPr>
              <w:spacing w:after="0" w:line="240" w:lineRule="auto"/>
            </w:pPr>
            <w:r>
              <w:t>82 (24 + 19 + 39, one run diverges — §7.6)</w:t>
            </w:r>
          </w:p>
        </w:tc>
      </w:tr>
      <w:tr w14:paraId="19493F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92E6951">
            <w:pPr>
              <w:spacing w:after="0" w:line="240" w:lineRule="auto"/>
            </w:pPr>
            <w:r>
              <w:t>Leakage</w:t>
            </w:r>
          </w:p>
        </w:tc>
        <w:tc>
          <w:tcPr>
            <w:tcW w:w="3135" w:type="dxa"/>
          </w:tcPr>
          <w:p w14:paraId="269FF9C1">
            <w:pPr>
              <w:spacing w:after="0" w:line="240" w:lineRule="auto"/>
            </w:pPr>
            <w:r>
              <w:t>3</w:t>
            </w:r>
          </w:p>
        </w:tc>
        <w:tc>
          <w:tcPr>
            <w:tcW w:w="3135" w:type="dxa"/>
          </w:tcPr>
          <w:p w14:paraId="60953605">
            <w:pPr>
              <w:spacing w:after="0" w:line="240" w:lineRule="auto"/>
            </w:pPr>
            <w:r>
              <w:t>43</w:t>
            </w:r>
          </w:p>
        </w:tc>
      </w:tr>
      <w:tr w14:paraId="4831D9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267FEDC">
            <w:pPr>
              <w:spacing w:after="0" w:line="240" w:lineRule="auto"/>
            </w:pPr>
            <w:r>
              <w:t>FlexibleShaft</w:t>
            </w:r>
          </w:p>
        </w:tc>
        <w:tc>
          <w:tcPr>
            <w:tcW w:w="3135" w:type="dxa"/>
          </w:tcPr>
          <w:p w14:paraId="4BA7B479">
            <w:pPr>
              <w:spacing w:after="0" w:line="240" w:lineRule="auto"/>
            </w:pPr>
            <w:r>
              <w:t>1 (used)</w:t>
            </w:r>
          </w:p>
        </w:tc>
        <w:tc>
          <w:tcPr>
            <w:tcW w:w="3135" w:type="dxa"/>
          </w:tcPr>
          <w:p w14:paraId="2019C7DC">
            <w:pPr>
              <w:spacing w:after="0" w:line="240" w:lineRule="auto"/>
            </w:pPr>
            <w:r>
              <w:t>18 (the second flex run was excluded by project decision)</w:t>
            </w:r>
          </w:p>
        </w:tc>
      </w:tr>
      <w:tr w14:paraId="310381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CA1FFCC">
            <w:pPr>
              <w:spacing w:after="0" w:line="240" w:lineRule="auto"/>
            </w:pPr>
            <w:r>
              <w:t>Healthy</w:t>
            </w:r>
          </w:p>
        </w:tc>
        <w:tc>
          <w:tcPr>
            <w:tcW w:w="3135" w:type="dxa"/>
          </w:tcPr>
          <w:p w14:paraId="1ECD9BDC">
            <w:pPr>
              <w:spacing w:after="0" w:line="240" w:lineRule="auto"/>
            </w:pPr>
            <w:r>
              <w:t>1</w:t>
            </w:r>
          </w:p>
        </w:tc>
        <w:tc>
          <w:tcPr>
            <w:tcW w:w="3135" w:type="dxa"/>
          </w:tcPr>
          <w:p w14:paraId="758C4AC2">
            <w:pPr>
              <w:spacing w:after="0" w:line="240" w:lineRule="auto"/>
            </w:pPr>
            <w:r>
              <w:t>9</w:t>
            </w:r>
          </w:p>
        </w:tc>
      </w:tr>
      <w:tr w14:paraId="7CAC65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94B3450">
            <w:pPr>
              <w:spacing w:after="0" w:line="240" w:lineRule="auto"/>
            </w:pPr>
            <w:r>
              <w:rPr>
                <w:b/>
              </w:rPr>
              <w:t>Total</w:t>
            </w:r>
          </w:p>
        </w:tc>
        <w:tc>
          <w:tcPr>
            <w:tcW w:w="3135" w:type="dxa"/>
          </w:tcPr>
          <w:p w14:paraId="0C26AF15">
            <w:pPr>
              <w:spacing w:after="0" w:line="240" w:lineRule="auto"/>
            </w:pPr>
            <w:r>
              <w:rPr>
                <w:b/>
              </w:rPr>
              <w:t>12</w:t>
            </w:r>
          </w:p>
        </w:tc>
        <w:tc>
          <w:tcPr>
            <w:tcW w:w="3135" w:type="dxa"/>
          </w:tcPr>
          <w:p w14:paraId="4FF23666">
            <w:pPr>
              <w:spacing w:after="0" w:line="240" w:lineRule="auto"/>
            </w:pPr>
            <w:r>
              <w:rPr>
                <w:b/>
              </w:rPr>
              <w:t>248</w:t>
            </w:r>
          </w:p>
        </w:tc>
      </w:tr>
    </w:tbl>
    <w:p w14:paraId="50364D70"/>
    <w:p w14:paraId="0304B588">
      <w:pPr>
        <w:jc w:val="center"/>
      </w:pPr>
      <w:r>
        <w:drawing>
          <wp:inline distT="0" distB="0" distL="114300" distR="114300">
            <wp:extent cx="5303520" cy="232918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AECCD">
      <w:pPr>
        <w:spacing w:after="240"/>
        <w:jc w:val="center"/>
      </w:pPr>
      <w:r>
        <w:rPr>
          <w:b/>
          <w:sz w:val="21"/>
        </w:rPr>
        <w:t>Figure 5.2: Analysis Windows per Class</w:t>
      </w:r>
    </w:p>
    <w:p w14:paraId="5AA0CDC1">
      <w:pPr>
        <w:pStyle w:val="3"/>
      </w:pPr>
      <w:r>
        <w:t>5.3 Scaling &amp; Normalization</w:t>
      </w:r>
    </w:p>
    <w:p w14:paraId="7F24ACE2">
      <w:r>
        <w:t>Scaling is applied selectively, matched to what each downstream stage actually needs:</w:t>
      </w:r>
    </w:p>
    <w:p w14:paraId="694F5243">
      <w:pPr>
        <w:pStyle w:val="23"/>
      </w:pPr>
      <w:r>
        <w:rPr>
          <w:b/>
        </w:rPr>
        <w:t>Stage 1 (health monitor):</w:t>
      </w:r>
      <w:r>
        <w:t xml:space="preserve"> every feature is centred and scaled with a</w:t>
      </w:r>
    </w:p>
    <w:p w14:paraId="6E62D16E">
      <w:r>
        <w:rPr>
          <w:b/>
        </w:rPr>
        <w:t>`RobustScaler`</w:t>
      </w:r>
      <w:r>
        <w:t xml:space="preserve"> fitted on the 9 healthy windows only — using the healthy </w:t>
      </w:r>
      <w:r>
        <w:rPr>
          <w:b/>
        </w:rPr>
        <w:t>median</w:t>
      </w:r>
      <w:r>
        <w:t xml:space="preserve"> and </w:t>
      </w:r>
      <w:r>
        <w:rPr>
          <w:b/>
        </w:rPr>
        <w:t>IQR</w:t>
      </w:r>
      <w:r>
        <w:t>, not mean/standard deviation, so that a single unusual value cannot distort the scale. After scaling, a value of 0 means "typical healthy value" for every one of the 51 features.</w:t>
      </w:r>
    </w:p>
    <w:p w14:paraId="4FB484CD">
      <w:pPr>
        <w:pStyle w:val="23"/>
      </w:pPr>
      <w:r>
        <w:rPr>
          <w:b/>
        </w:rPr>
        <w:t>Stage 2 tree/boosting models</w:t>
      </w:r>
      <w:r>
        <w:t xml:space="preserve"> (Extra Trees, Random Forest,</w:t>
      </w:r>
    </w:p>
    <w:p w14:paraId="177BA77A">
      <w:r>
        <w:t xml:space="preserve">HistGradientBoosting, LightGBM, CatBoost, XGBoost): </w:t>
      </w:r>
      <w:r>
        <w:rPr>
          <w:b/>
        </w:rPr>
        <w:t>no scaling</w:t>
      </w:r>
      <w:r>
        <w:t xml:space="preserve"> — split points in a decision tree are invariant to monotonic rescaling, so scaling would add compute for zero benefit.</w:t>
      </w:r>
    </w:p>
    <w:p w14:paraId="345787B3">
      <w:pPr>
        <w:pStyle w:val="23"/>
      </w:pPr>
      <w:r>
        <w:rPr>
          <w:b/>
        </w:rPr>
        <w:t>Stage 2 margin/linear models</w:t>
      </w:r>
      <w:r>
        <w:t xml:space="preserve"> (SVM-RBF, Logistic Regression): a</w:t>
      </w:r>
    </w:p>
    <w:p w14:paraId="28A54E4F">
      <w:r>
        <w:rPr>
          <w:b/>
        </w:rPr>
        <w:t>`StandardScaler`</w:t>
      </w:r>
      <w:r>
        <w:t xml:space="preserve"> is applied inside an sklearn pipeline, since both algorithms are distance/gradient-based and sensitive to feature scale.</w:t>
      </w:r>
    </w:p>
    <w:p w14:paraId="14982779">
      <w:pPr>
        <w:pStyle w:val="23"/>
      </w:pPr>
      <w:r>
        <w:rPr>
          <w:b/>
        </w:rPr>
        <w:t>Design-level normalisation (upstream of all of the above):</w:t>
      </w:r>
      <w:r>
        <w:t xml:space="preserve"> because the</w:t>
      </w:r>
    </w:p>
    <w:p w14:paraId="3CBEF047">
      <w:r>
        <w:t xml:space="preserve">12 runs sit at wildly different absolute operating points (pump pressure spans 0.03–4126 bar across runs; DC bus spans 26–182 V), *raw signal level* is never used as a feature at all — every one of the 51 features is either scale-invariant (a ratio/shape statistic) or baseline-relative (a deviation from that same run's own pre-fault segment). This is enforced at feature </w:t>
      </w:r>
      <w:r>
        <w:rPr>
          <w:b/>
        </w:rPr>
        <w:t>design</w:t>
      </w:r>
      <w:r>
        <w:t xml:space="preserve"> time, before any scaler is fit, and is the single most important normalisation decision in the pipeline (see §5.4 and the ablation in §5.5).</w:t>
      </w:r>
    </w:p>
    <w:p w14:paraId="7A2BF7F7">
      <w:pPr>
        <w:pStyle w:val="3"/>
      </w:pPr>
      <w:r>
        <w:t>5.4 Feature Extraction</w:t>
      </w:r>
    </w:p>
    <w:p w14:paraId="14E331CF">
      <w:r>
        <w:t xml:space="preserve">Feature extraction runs in </w:t>
      </w:r>
      <w:r>
        <w:rPr>
          <w:rFonts w:ascii="Consolas" w:hAnsi="Consolas"/>
          <w:sz w:val="19"/>
        </w:rPr>
        <w:t>04_feature_extract.ipynb</w:t>
      </w:r>
      <w:r>
        <w:t xml:space="preserve"> and produces </w:t>
      </w:r>
      <w:r>
        <w:rPr>
          <w:rFonts w:ascii="Consolas" w:hAnsi="Consolas"/>
          <w:sz w:val="19"/>
        </w:rPr>
        <w:t>artifacts/features.parquet</w:t>
      </w:r>
      <w:r>
        <w:t xml:space="preserve"> (cached alongside the raw windows in </w:t>
      </w:r>
      <w:r>
        <w:rPr>
          <w:rFonts w:ascii="Consolas" w:hAnsi="Consolas"/>
          <w:sz w:val="19"/>
        </w:rPr>
        <w:t>artifacts/windows.npz</w:t>
      </w:r>
      <w:r>
        <w:t>). Twelve statistics are computed per window for each of the four channels common to all 12 runs (</w:t>
      </w:r>
      <w:r>
        <w:rPr>
          <w:rFonts w:ascii="Consolas" w:hAnsi="Consolas"/>
          <w:sz w:val="19"/>
        </w:rPr>
        <w:t>pressure</w:t>
      </w:r>
      <w:r>
        <w:t xml:space="preserve">, </w:t>
      </w:r>
      <w:r>
        <w:rPr>
          <w:rFonts w:ascii="Consolas" w:hAnsi="Consolas"/>
          <w:sz w:val="19"/>
        </w:rPr>
        <w:t>current</w:t>
      </w:r>
      <w:r>
        <w:t xml:space="preserve">, </w:t>
      </w:r>
      <w:r>
        <w:rPr>
          <w:rFonts w:ascii="Consolas" w:hAnsi="Consolas"/>
          <w:sz w:val="19"/>
        </w:rPr>
        <w:t>vdc</w:t>
      </w:r>
      <w:r>
        <w:t xml:space="preserve">, </w:t>
      </w:r>
      <w:r>
        <w:rPr>
          <w:rFonts w:ascii="Consolas" w:hAnsi="Consolas"/>
          <w:sz w:val="19"/>
        </w:rPr>
        <w:t>vac</w:t>
      </w:r>
      <w:r>
        <w:t xml:space="preserve">), plus three cross-signal features, for </w:t>
      </w:r>
      <w:r>
        <w:rPr>
          <w:b/>
        </w:rPr>
        <w:t>12 × 4 + 3 = 51 features</w:t>
      </w:r>
      <w:r>
        <w:t>:</w:t>
      </w:r>
    </w:p>
    <w:p w14:paraId="50316F88">
      <w:pPr>
        <w:spacing w:after="240"/>
        <w:jc w:val="center"/>
      </w:pPr>
      <w:r>
        <w:rPr>
          <w:b/>
          <w:sz w:val="21"/>
        </w:rPr>
        <w:t>Table 5.2: Feature Set (12 × 4 Channels + 3 = 51 Features)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B264B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2F5496"/>
          </w:tcPr>
          <w:p w14:paraId="0F393155">
            <w:pPr>
              <w:spacing w:after="0" w:line="240" w:lineRule="auto"/>
            </w:pPr>
            <w:r>
              <w:rPr>
                <w:b/>
                <w:color w:val="FFFFFF"/>
              </w:rPr>
              <w:t>Feature</w:t>
            </w:r>
          </w:p>
        </w:tc>
        <w:tc>
          <w:tcPr>
            <w:tcW w:w="3135" w:type="dxa"/>
            <w:shd w:val="clear" w:color="auto" w:fill="2F5496"/>
          </w:tcPr>
          <w:p w14:paraId="1B6547A9">
            <w:pPr>
              <w:spacing w:after="0" w:line="240" w:lineRule="auto"/>
            </w:pPr>
            <w:r>
              <w:rPr>
                <w:b/>
                <w:color w:val="FFFFFF"/>
              </w:rPr>
              <w:t>Definition</w:t>
            </w:r>
          </w:p>
        </w:tc>
        <w:tc>
          <w:tcPr>
            <w:tcW w:w="3135" w:type="dxa"/>
            <w:shd w:val="clear" w:color="auto" w:fill="2F5496"/>
          </w:tcPr>
          <w:p w14:paraId="78B221E4">
            <w:pPr>
              <w:spacing w:after="0" w:line="240" w:lineRule="auto"/>
            </w:pPr>
            <w:r>
              <w:rPr>
                <w:b/>
                <w:color w:val="FFFFFF"/>
              </w:rPr>
              <w:t>What it captures</w:t>
            </w:r>
          </w:p>
        </w:tc>
      </w:tr>
      <w:tr w14:paraId="5030C1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DB739D6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cov</w:t>
            </w:r>
          </w:p>
        </w:tc>
        <w:tc>
          <w:tcPr>
            <w:tcW w:w="3135" w:type="dxa"/>
          </w:tcPr>
          <w:p w14:paraId="7A5C8070">
            <w:pPr>
              <w:spacing w:after="0" w:line="240" w:lineRule="auto"/>
            </w:pPr>
            <w:r>
              <w:t>coefficient of variation (σ/µ)</w:t>
            </w:r>
          </w:p>
        </w:tc>
        <w:tc>
          <w:tcPr>
            <w:tcW w:w="3135" w:type="dxa"/>
          </w:tcPr>
          <w:p w14:paraId="704A2883">
            <w:pPr>
              <w:spacing w:after="0" w:line="240" w:lineRule="auto"/>
            </w:pPr>
            <w:r>
              <w:t>relative fluctuation strength</w:t>
            </w:r>
          </w:p>
        </w:tc>
      </w:tr>
      <w:tr w14:paraId="2F27FA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2F5A719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crest</w:t>
            </w:r>
          </w:p>
        </w:tc>
        <w:tc>
          <w:tcPr>
            <w:tcW w:w="3135" w:type="dxa"/>
          </w:tcPr>
          <w:p w14:paraId="3B4CF284">
            <w:pPr>
              <w:spacing w:after="0" w:line="240" w:lineRule="auto"/>
            </w:pPr>
            <w:r>
              <w:t>peak / RMS</w:t>
            </w:r>
          </w:p>
        </w:tc>
        <w:tc>
          <w:tcPr>
            <w:tcW w:w="3135" w:type="dxa"/>
          </w:tcPr>
          <w:p w14:paraId="33EE968A">
            <w:pPr>
              <w:spacing w:after="0" w:line="240" w:lineRule="auto"/>
            </w:pPr>
            <w:r>
              <w:t>spikiness of the waveform</w:t>
            </w:r>
          </w:p>
        </w:tc>
      </w:tr>
      <w:tr w14:paraId="1BF0E5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37C838D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ripple</w:t>
            </w:r>
          </w:p>
        </w:tc>
        <w:tc>
          <w:tcPr>
            <w:tcW w:w="3135" w:type="dxa"/>
          </w:tcPr>
          <w:p w14:paraId="4ECABD8F">
            <w:pPr>
              <w:spacing w:after="0" w:line="240" w:lineRule="auto"/>
            </w:pPr>
            <w:r>
              <w:t>peak-to-peak / mean</w:t>
            </w:r>
          </w:p>
        </w:tc>
        <w:tc>
          <w:tcPr>
            <w:tcW w:w="3135" w:type="dxa"/>
          </w:tcPr>
          <w:p w14:paraId="5DB41E43">
            <w:pPr>
              <w:spacing w:after="0" w:line="240" w:lineRule="auto"/>
            </w:pPr>
            <w:r>
              <w:t>oscillation depth</w:t>
            </w:r>
          </w:p>
        </w:tc>
      </w:tr>
      <w:tr w14:paraId="710647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52A1231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skew</w:t>
            </w:r>
          </w:p>
        </w:tc>
        <w:tc>
          <w:tcPr>
            <w:tcW w:w="3135" w:type="dxa"/>
          </w:tcPr>
          <w:p w14:paraId="6A241EAA">
            <w:pPr>
              <w:spacing w:after="0" w:line="240" w:lineRule="auto"/>
            </w:pPr>
            <w:r>
              <w:t>third standardized moment</w:t>
            </w:r>
          </w:p>
        </w:tc>
        <w:tc>
          <w:tcPr>
            <w:tcW w:w="3135" w:type="dxa"/>
          </w:tcPr>
          <w:p w14:paraId="261DCC37">
            <w:pPr>
              <w:spacing w:after="0" w:line="240" w:lineRule="auto"/>
            </w:pPr>
            <w:r>
              <w:t>waveform asymmetry</w:t>
            </w:r>
          </w:p>
        </w:tc>
      </w:tr>
      <w:tr w14:paraId="4D039B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E434083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kurt</w:t>
            </w:r>
          </w:p>
        </w:tc>
        <w:tc>
          <w:tcPr>
            <w:tcW w:w="3135" w:type="dxa"/>
          </w:tcPr>
          <w:p w14:paraId="4ADF68AA">
            <w:pPr>
              <w:spacing w:after="0" w:line="240" w:lineRule="auto"/>
            </w:pPr>
            <w:r>
              <w:t>fourth standardized moment</w:t>
            </w:r>
          </w:p>
        </w:tc>
        <w:tc>
          <w:tcPr>
            <w:tcW w:w="3135" w:type="dxa"/>
          </w:tcPr>
          <w:p w14:paraId="5DB90530">
            <w:pPr>
              <w:spacing w:after="0" w:line="240" w:lineRule="auto"/>
            </w:pPr>
            <w:r>
              <w:t>heavy tails / impulsiveness</w:t>
            </w:r>
          </w:p>
        </w:tc>
      </w:tr>
      <w:tr w14:paraId="4CB2A0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B1628F6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zcr</w:t>
            </w:r>
          </w:p>
        </w:tc>
        <w:tc>
          <w:tcPr>
            <w:tcW w:w="3135" w:type="dxa"/>
          </w:tcPr>
          <w:p w14:paraId="77081B30">
            <w:pPr>
              <w:spacing w:after="0" w:line="240" w:lineRule="auto"/>
            </w:pPr>
            <w:r>
              <w:t>zero-crossing rate of the detrended signal</w:t>
            </w:r>
          </w:p>
        </w:tc>
        <w:tc>
          <w:tcPr>
            <w:tcW w:w="3135" w:type="dxa"/>
          </w:tcPr>
          <w:p w14:paraId="23680F28">
            <w:pPr>
              <w:spacing w:after="0" w:line="240" w:lineRule="auto"/>
            </w:pPr>
            <w:r>
              <w:t>dominant frequency proxy</w:t>
            </w:r>
          </w:p>
        </w:tc>
      </w:tr>
      <w:tr w14:paraId="19E3BA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A20ACCF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slope</w:t>
            </w:r>
          </w:p>
        </w:tc>
        <w:tc>
          <w:tcPr>
            <w:tcW w:w="3135" w:type="dxa"/>
          </w:tcPr>
          <w:p w14:paraId="629A0C71">
            <w:pPr>
              <w:spacing w:after="0" w:line="240" w:lineRule="auto"/>
            </w:pPr>
            <w:r>
              <w:t>linear trend within the window</w:t>
            </w:r>
          </w:p>
        </w:tc>
        <w:tc>
          <w:tcPr>
            <w:tcW w:w="3135" w:type="dxa"/>
          </w:tcPr>
          <w:p w14:paraId="166CE6D0">
            <w:pPr>
              <w:spacing w:after="0" w:line="240" w:lineRule="auto"/>
            </w:pPr>
            <w:r>
              <w:t>drift/collapse behaviour</w:t>
            </w:r>
          </w:p>
        </w:tc>
      </w:tr>
      <w:tr w14:paraId="50EDE5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832342F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speccen</w:t>
            </w:r>
          </w:p>
        </w:tc>
        <w:tc>
          <w:tcPr>
            <w:tcW w:w="3135" w:type="dxa"/>
          </w:tcPr>
          <w:p w14:paraId="668B2357">
            <w:pPr>
              <w:spacing w:after="0" w:line="240" w:lineRule="auto"/>
            </w:pPr>
            <w:r>
              <w:t>spectral centroid</w:t>
            </w:r>
          </w:p>
        </w:tc>
        <w:tc>
          <w:tcPr>
            <w:tcW w:w="3135" w:type="dxa"/>
          </w:tcPr>
          <w:p w14:paraId="225A80C1">
            <w:pPr>
              <w:spacing w:after="0" w:line="240" w:lineRule="auto"/>
            </w:pPr>
            <w:r>
              <w:t>centre of gravity of the spectrum</w:t>
            </w:r>
          </w:p>
        </w:tc>
      </w:tr>
      <w:tr w14:paraId="73DD48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6ACE174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speclow</w:t>
            </w:r>
          </w:p>
        </w:tc>
        <w:tc>
          <w:tcPr>
            <w:tcW w:w="3135" w:type="dxa"/>
          </w:tcPr>
          <w:p w14:paraId="767CC42E">
            <w:pPr>
              <w:spacing w:after="0" w:line="240" w:lineRule="auto"/>
            </w:pPr>
            <w:r>
              <w:t>low-band spectral power share</w:t>
            </w:r>
          </w:p>
        </w:tc>
        <w:tc>
          <w:tcPr>
            <w:tcW w:w="3135" w:type="dxa"/>
          </w:tcPr>
          <w:p w14:paraId="001EC594">
            <w:pPr>
              <w:spacing w:after="0" w:line="240" w:lineRule="auto"/>
            </w:pPr>
            <w:r>
              <w:t>energy shift toward low frequency</w:t>
            </w:r>
          </w:p>
        </w:tc>
      </w:tr>
      <w:tr w14:paraId="181496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3E64A77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dmean</w:t>
            </w:r>
          </w:p>
        </w:tc>
        <w:tc>
          <w:tcPr>
            <w:tcW w:w="3135" w:type="dxa"/>
          </w:tcPr>
          <w:p w14:paraId="34BF7558">
            <w:pPr>
              <w:spacing w:after="0" w:line="240" w:lineRule="auto"/>
            </w:pPr>
            <w:r>
              <w:t>mean change vs pre-fault baseline (normalized)</w:t>
            </w:r>
          </w:p>
        </w:tc>
        <w:tc>
          <w:tcPr>
            <w:tcW w:w="3135" w:type="dxa"/>
          </w:tcPr>
          <w:p w14:paraId="01700539">
            <w:pPr>
              <w:spacing w:after="0" w:line="240" w:lineRule="auto"/>
            </w:pPr>
            <w:r>
              <w:t>level shift after fault</w:t>
            </w:r>
          </w:p>
        </w:tc>
      </w:tr>
      <w:tr w14:paraId="6693D0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F4242DC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dstd</w:t>
            </w:r>
          </w:p>
        </w:tc>
        <w:tc>
          <w:tcPr>
            <w:tcW w:w="3135" w:type="dxa"/>
          </w:tcPr>
          <w:p w14:paraId="60183941">
            <w:pPr>
              <w:spacing w:after="0" w:line="240" w:lineRule="auto"/>
            </w:pPr>
            <w:r>
              <w:t>std change vs baseline (normalized)</w:t>
            </w:r>
          </w:p>
        </w:tc>
        <w:tc>
          <w:tcPr>
            <w:tcW w:w="3135" w:type="dxa"/>
          </w:tcPr>
          <w:p w14:paraId="7F7ACEF8">
            <w:pPr>
              <w:spacing w:after="0" w:line="240" w:lineRule="auto"/>
            </w:pPr>
            <w:r>
              <w:t>fluctuation change after fault</w:t>
            </w:r>
          </w:p>
        </w:tc>
      </w:tr>
      <w:tr w14:paraId="53A968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F61FF06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drms</w:t>
            </w:r>
          </w:p>
        </w:tc>
        <w:tc>
          <w:tcPr>
            <w:tcW w:w="3135" w:type="dxa"/>
          </w:tcPr>
          <w:p w14:paraId="1106A2EB">
            <w:pPr>
              <w:spacing w:after="0" w:line="240" w:lineRule="auto"/>
            </w:pPr>
            <w:r>
              <w:t>RMS change vs baseline (normalized)</w:t>
            </w:r>
          </w:p>
        </w:tc>
        <w:tc>
          <w:tcPr>
            <w:tcW w:w="3135" w:type="dxa"/>
          </w:tcPr>
          <w:p w14:paraId="3D1AC975">
            <w:pPr>
              <w:spacing w:after="0" w:line="240" w:lineRule="auto"/>
            </w:pPr>
            <w:r>
              <w:t>energy change after fault</w:t>
            </w:r>
          </w:p>
        </w:tc>
      </w:tr>
      <w:tr w14:paraId="70E0E9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5E4956F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corr_vdc_i</w:t>
            </w:r>
          </w:p>
        </w:tc>
        <w:tc>
          <w:tcPr>
            <w:tcW w:w="3135" w:type="dxa"/>
          </w:tcPr>
          <w:p w14:paraId="29F4C4B9">
            <w:pPr>
              <w:spacing w:after="0" w:line="240" w:lineRule="auto"/>
            </w:pPr>
            <w:r>
              <w:t>correlation(vdc, current)</w:t>
            </w:r>
          </w:p>
        </w:tc>
        <w:tc>
          <w:tcPr>
            <w:tcW w:w="3135" w:type="dxa"/>
          </w:tcPr>
          <w:p w14:paraId="231A00B4">
            <w:pPr>
              <w:spacing w:after="0" w:line="240" w:lineRule="auto"/>
            </w:pPr>
            <w:r>
              <w:t>rectifier/load coupling integrity</w:t>
            </w:r>
          </w:p>
        </w:tc>
      </w:tr>
      <w:tr w14:paraId="0CE3EA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ED28B73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power_cov</w:t>
            </w:r>
          </w:p>
        </w:tc>
        <w:tc>
          <w:tcPr>
            <w:tcW w:w="3135" w:type="dxa"/>
          </w:tcPr>
          <w:p w14:paraId="6A80C1D6">
            <w:pPr>
              <w:spacing w:after="0" w:line="240" w:lineRule="auto"/>
            </w:pPr>
            <w:r>
              <w:t>CoV of instantaneous electrical power</w:t>
            </w:r>
          </w:p>
        </w:tc>
        <w:tc>
          <w:tcPr>
            <w:tcW w:w="3135" w:type="dxa"/>
          </w:tcPr>
          <w:p w14:paraId="62A9E8CC">
            <w:pPr>
              <w:spacing w:after="0" w:line="240" w:lineRule="auto"/>
            </w:pPr>
            <w:r>
              <w:t>combined electrical stability</w:t>
            </w:r>
          </w:p>
        </w:tc>
      </w:tr>
      <w:tr w14:paraId="5F2CDD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2DB2793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corr_p_vac</w:t>
            </w:r>
          </w:p>
        </w:tc>
        <w:tc>
          <w:tcPr>
            <w:tcW w:w="3135" w:type="dxa"/>
          </w:tcPr>
          <w:p w14:paraId="75536C24">
            <w:pPr>
              <w:spacing w:after="0" w:line="240" w:lineRule="auto"/>
            </w:pPr>
            <w:r>
              <w:t>correlation(pressure, vac)</w:t>
            </w:r>
          </w:p>
        </w:tc>
        <w:tc>
          <w:tcPr>
            <w:tcW w:w="3135" w:type="dxa"/>
          </w:tcPr>
          <w:p w14:paraId="6C28FED5">
            <w:pPr>
              <w:spacing w:after="0" w:line="240" w:lineRule="auto"/>
            </w:pPr>
            <w:r>
              <w:t>hydro-electrical coupling</w:t>
            </w:r>
          </w:p>
        </w:tc>
      </w:tr>
    </w:tbl>
    <w:p w14:paraId="261338BA"/>
    <w:p w14:paraId="3849780E">
      <w:r>
        <w:t>The baseline-deviation features (</w:t>
      </w:r>
      <w:r>
        <w:rPr>
          <w:rFonts w:ascii="Consolas" w:hAnsi="Consolas"/>
          <w:sz w:val="19"/>
        </w:rPr>
        <w:t>dmean</w:t>
      </w:r>
      <w:r>
        <w:t xml:space="preserve">, </w:t>
      </w:r>
      <w:r>
        <w:rPr>
          <w:rFonts w:ascii="Consolas" w:hAnsi="Consolas"/>
          <w:sz w:val="19"/>
        </w:rPr>
        <w:t>dstd</w:t>
      </w:r>
      <w:r>
        <w:t xml:space="preserve">, </w:t>
      </w:r>
      <w:r>
        <w:rPr>
          <w:rFonts w:ascii="Consolas" w:hAnsi="Consolas"/>
          <w:sz w:val="19"/>
        </w:rPr>
        <w:t>drms</w:t>
      </w:r>
      <w:r>
        <w:t>) are computed relative to each run's own pre-fault segment (0.05–0.10 s), which is what lets the same feature be compared meaningfully across runs recorded at different absolute operating points.</w:t>
      </w:r>
    </w:p>
    <w:p w14:paraId="42935684">
      <w:pPr>
        <w:pStyle w:val="3"/>
      </w:pPr>
      <w:r>
        <w:t>5.5 Feature Selection</w:t>
      </w:r>
    </w:p>
    <w:p w14:paraId="352FA8BE">
      <w:r>
        <w:rPr>
          <w:b/>
        </w:rPr>
        <w:t>No features are removed by rank before training.</w:t>
      </w:r>
      <w:r>
        <w:t xml:space="preserve"> All 51 features enter every model in the final pipeline — selecting a subset by importance *before* cross-validation would itself leak information from the held-out test folds back into feature choice.</w:t>
      </w:r>
    </w:p>
    <w:p w14:paraId="0BBE2C5A">
      <w:r>
        <w:t xml:space="preserve">Feature importance is instead computed and used purely as </w:t>
      </w:r>
      <w:r>
        <w:rPr>
          <w:b/>
        </w:rPr>
        <w:t>evidence</w:t>
      </w:r>
      <w:r>
        <w:t>, not as a filter: impurity (</w:t>
      </w:r>
      <w:r>
        <w:rPr>
          <w:rFonts w:ascii="Consolas" w:hAnsi="Consolas"/>
          <w:sz w:val="19"/>
        </w:rPr>
        <w:t>builtin</w:t>
      </w:r>
      <w:r>
        <w:t>) importance from the deployed ensemble's tree members, cross-checked with permutation importance during development (</w:t>
      </w:r>
      <w:r>
        <w:rPr>
          <w:rFonts w:ascii="Consolas" w:hAnsi="Consolas"/>
          <w:sz w:val="19"/>
        </w:rPr>
        <w:t>artifacts/feature_importance.csv</w:t>
      </w:r>
      <w:r>
        <w:t xml:space="preserve">; SHAP was preferred but hit an environment </w:t>
      </w:r>
      <w:r>
        <w:rPr>
          <w:rFonts w:ascii="Consolas" w:hAnsi="Consolas"/>
          <w:sz w:val="19"/>
        </w:rPr>
        <w:t>ValueError</w:t>
      </w:r>
      <w:r>
        <w:t xml:space="preserve"> on this numpy/shap version pairing, so permutation + built-in importance were used instead, giving the same qualitative conclusion). The top-ranked features are (Figure 5.3):</w:t>
      </w:r>
    </w:p>
    <w:p w14:paraId="519C7877">
      <w:pPr>
        <w:jc w:val="center"/>
      </w:pPr>
      <w:r>
        <w:drawing>
          <wp:inline distT="0" distB="0" distL="114300" distR="114300">
            <wp:extent cx="5303520" cy="2945765"/>
            <wp:effectExtent l="0" t="0" r="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AFF9">
      <w:pPr>
        <w:spacing w:after="240"/>
        <w:jc w:val="center"/>
      </w:pPr>
      <w:r>
        <w:rPr>
          <w:b/>
          <w:sz w:val="21"/>
        </w:rPr>
        <w:t>Figure 5.3: Feature Importance Ranking</w:t>
      </w:r>
    </w:p>
    <w:p w14:paraId="0F3A88FC">
      <w:pPr>
        <w:spacing w:after="240"/>
        <w:jc w:val="center"/>
      </w:pPr>
      <w:r>
        <w:rPr>
          <w:b/>
          <w:sz w:val="21"/>
        </w:rPr>
        <w:t>Table 5.3: Top 10 Feature Importance Ranking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5CD4A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2F5496"/>
          </w:tcPr>
          <w:p w14:paraId="3EC67873">
            <w:pPr>
              <w:spacing w:after="0" w:line="240" w:lineRule="auto"/>
            </w:pPr>
            <w:r>
              <w:rPr>
                <w:b/>
                <w:color w:val="FFFFFF"/>
              </w:rPr>
              <w:t>Rank</w:t>
            </w:r>
          </w:p>
        </w:tc>
        <w:tc>
          <w:tcPr>
            <w:tcW w:w="3135" w:type="dxa"/>
            <w:shd w:val="clear" w:color="auto" w:fill="2F5496"/>
          </w:tcPr>
          <w:p w14:paraId="6438EE3E">
            <w:pPr>
              <w:spacing w:after="0" w:line="240" w:lineRule="auto"/>
            </w:pPr>
            <w:r>
              <w:rPr>
                <w:b/>
                <w:color w:val="FFFFFF"/>
              </w:rPr>
              <w:t>Feature</w:t>
            </w:r>
          </w:p>
        </w:tc>
        <w:tc>
          <w:tcPr>
            <w:tcW w:w="3135" w:type="dxa"/>
            <w:shd w:val="clear" w:color="auto" w:fill="2F5496"/>
          </w:tcPr>
          <w:p w14:paraId="312E8A3F">
            <w:pPr>
              <w:spacing w:after="0" w:line="240" w:lineRule="auto"/>
            </w:pPr>
            <w:r>
              <w:rPr>
                <w:b/>
                <w:color w:val="FFFFFF"/>
              </w:rPr>
              <w:t>Importance</w:t>
            </w:r>
          </w:p>
        </w:tc>
      </w:tr>
      <w:tr w14:paraId="6158D5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A4F79EB">
            <w:pPr>
              <w:spacing w:after="0" w:line="240" w:lineRule="auto"/>
            </w:pPr>
            <w:r>
              <w:t>1</w:t>
            </w:r>
          </w:p>
        </w:tc>
        <w:tc>
          <w:tcPr>
            <w:tcW w:w="3135" w:type="dxa"/>
          </w:tcPr>
          <w:p w14:paraId="39395AAE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current_ripple</w:t>
            </w:r>
          </w:p>
        </w:tc>
        <w:tc>
          <w:tcPr>
            <w:tcW w:w="3135" w:type="dxa"/>
          </w:tcPr>
          <w:p w14:paraId="515168F3">
            <w:pPr>
              <w:spacing w:after="0" w:line="240" w:lineRule="auto"/>
            </w:pPr>
            <w:r>
              <w:t>0.076</w:t>
            </w:r>
          </w:p>
        </w:tc>
      </w:tr>
      <w:tr w14:paraId="06B045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A8BAAE3">
            <w:pPr>
              <w:spacing w:after="0" w:line="240" w:lineRule="auto"/>
            </w:pPr>
            <w:r>
              <w:t>2</w:t>
            </w:r>
          </w:p>
        </w:tc>
        <w:tc>
          <w:tcPr>
            <w:tcW w:w="3135" w:type="dxa"/>
          </w:tcPr>
          <w:p w14:paraId="44E96E73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vdc_ripple</w:t>
            </w:r>
          </w:p>
        </w:tc>
        <w:tc>
          <w:tcPr>
            <w:tcW w:w="3135" w:type="dxa"/>
          </w:tcPr>
          <w:p w14:paraId="53025253">
            <w:pPr>
              <w:spacing w:after="0" w:line="240" w:lineRule="auto"/>
            </w:pPr>
            <w:r>
              <w:t>0.073</w:t>
            </w:r>
          </w:p>
        </w:tc>
      </w:tr>
      <w:tr w14:paraId="361698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6884361">
            <w:pPr>
              <w:spacing w:after="0" w:line="240" w:lineRule="auto"/>
            </w:pPr>
            <w:r>
              <w:t>3</w:t>
            </w:r>
          </w:p>
        </w:tc>
        <w:tc>
          <w:tcPr>
            <w:tcW w:w="3135" w:type="dxa"/>
          </w:tcPr>
          <w:p w14:paraId="2A78E0DA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vdc_cov</w:t>
            </w:r>
          </w:p>
        </w:tc>
        <w:tc>
          <w:tcPr>
            <w:tcW w:w="3135" w:type="dxa"/>
          </w:tcPr>
          <w:p w14:paraId="7071F428">
            <w:pPr>
              <w:spacing w:after="0" w:line="240" w:lineRule="auto"/>
            </w:pPr>
            <w:r>
              <w:t>0.073</w:t>
            </w:r>
          </w:p>
        </w:tc>
      </w:tr>
      <w:tr w14:paraId="1C9768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65DB1A5">
            <w:pPr>
              <w:spacing w:after="0" w:line="240" w:lineRule="auto"/>
            </w:pPr>
            <w:r>
              <w:t>4</w:t>
            </w:r>
          </w:p>
        </w:tc>
        <w:tc>
          <w:tcPr>
            <w:tcW w:w="3135" w:type="dxa"/>
          </w:tcPr>
          <w:p w14:paraId="1623DDE7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current_cov</w:t>
            </w:r>
          </w:p>
        </w:tc>
        <w:tc>
          <w:tcPr>
            <w:tcW w:w="3135" w:type="dxa"/>
          </w:tcPr>
          <w:p w14:paraId="2CE6F3FC">
            <w:pPr>
              <w:spacing w:after="0" w:line="240" w:lineRule="auto"/>
            </w:pPr>
            <w:r>
              <w:t>0.071</w:t>
            </w:r>
          </w:p>
        </w:tc>
      </w:tr>
      <w:tr w14:paraId="695391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AD63EC8">
            <w:pPr>
              <w:spacing w:after="0" w:line="240" w:lineRule="auto"/>
            </w:pPr>
            <w:r>
              <w:t>5</w:t>
            </w:r>
          </w:p>
        </w:tc>
        <w:tc>
          <w:tcPr>
            <w:tcW w:w="3135" w:type="dxa"/>
          </w:tcPr>
          <w:p w14:paraId="11A903C5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vdc_crest</w:t>
            </w:r>
          </w:p>
        </w:tc>
        <w:tc>
          <w:tcPr>
            <w:tcW w:w="3135" w:type="dxa"/>
          </w:tcPr>
          <w:p w14:paraId="6889B163">
            <w:pPr>
              <w:spacing w:after="0" w:line="240" w:lineRule="auto"/>
            </w:pPr>
            <w:r>
              <w:t>0.069</w:t>
            </w:r>
          </w:p>
        </w:tc>
      </w:tr>
      <w:tr w14:paraId="033335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653E59A">
            <w:pPr>
              <w:spacing w:after="0" w:line="240" w:lineRule="auto"/>
            </w:pPr>
            <w:r>
              <w:t>6</w:t>
            </w:r>
          </w:p>
        </w:tc>
        <w:tc>
          <w:tcPr>
            <w:tcW w:w="3135" w:type="dxa"/>
          </w:tcPr>
          <w:p w14:paraId="228CB57A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power_cov</w:t>
            </w:r>
          </w:p>
        </w:tc>
        <w:tc>
          <w:tcPr>
            <w:tcW w:w="3135" w:type="dxa"/>
          </w:tcPr>
          <w:p w14:paraId="642F3744">
            <w:pPr>
              <w:spacing w:after="0" w:line="240" w:lineRule="auto"/>
            </w:pPr>
            <w:r>
              <w:t>0.061</w:t>
            </w:r>
          </w:p>
        </w:tc>
      </w:tr>
      <w:tr w14:paraId="49E2B0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FF16AB1">
            <w:pPr>
              <w:spacing w:after="0" w:line="240" w:lineRule="auto"/>
            </w:pPr>
            <w:r>
              <w:t>7</w:t>
            </w:r>
          </w:p>
        </w:tc>
        <w:tc>
          <w:tcPr>
            <w:tcW w:w="3135" w:type="dxa"/>
          </w:tcPr>
          <w:p w14:paraId="4A248806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current_crest</w:t>
            </w:r>
          </w:p>
        </w:tc>
        <w:tc>
          <w:tcPr>
            <w:tcW w:w="3135" w:type="dxa"/>
          </w:tcPr>
          <w:p w14:paraId="20D9E6C2">
            <w:pPr>
              <w:spacing w:after="0" w:line="240" w:lineRule="auto"/>
            </w:pPr>
            <w:r>
              <w:t>0.060</w:t>
            </w:r>
          </w:p>
        </w:tc>
      </w:tr>
      <w:tr w14:paraId="10B876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C0B6682">
            <w:pPr>
              <w:spacing w:after="0" w:line="240" w:lineRule="auto"/>
            </w:pPr>
            <w:r>
              <w:t>8</w:t>
            </w:r>
          </w:p>
        </w:tc>
        <w:tc>
          <w:tcPr>
            <w:tcW w:w="3135" w:type="dxa"/>
          </w:tcPr>
          <w:p w14:paraId="1A160FC3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vac_zcr</w:t>
            </w:r>
          </w:p>
        </w:tc>
        <w:tc>
          <w:tcPr>
            <w:tcW w:w="3135" w:type="dxa"/>
          </w:tcPr>
          <w:p w14:paraId="77673779">
            <w:pPr>
              <w:spacing w:after="0" w:line="240" w:lineRule="auto"/>
            </w:pPr>
            <w:r>
              <w:t>0.054</w:t>
            </w:r>
          </w:p>
        </w:tc>
      </w:tr>
      <w:tr w14:paraId="52B15B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55FFE32">
            <w:pPr>
              <w:spacing w:after="0" w:line="240" w:lineRule="auto"/>
            </w:pPr>
            <w:r>
              <w:t>9</w:t>
            </w:r>
          </w:p>
        </w:tc>
        <w:tc>
          <w:tcPr>
            <w:tcW w:w="3135" w:type="dxa"/>
          </w:tcPr>
          <w:p w14:paraId="3E9DA1E6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vac_speccen</w:t>
            </w:r>
          </w:p>
        </w:tc>
        <w:tc>
          <w:tcPr>
            <w:tcW w:w="3135" w:type="dxa"/>
          </w:tcPr>
          <w:p w14:paraId="58117AFC">
            <w:pPr>
              <w:spacing w:after="0" w:line="240" w:lineRule="auto"/>
            </w:pPr>
            <w:r>
              <w:t>0.050</w:t>
            </w:r>
          </w:p>
        </w:tc>
      </w:tr>
      <w:tr w14:paraId="3B09E7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83B7EDF">
            <w:pPr>
              <w:spacing w:after="0" w:line="240" w:lineRule="auto"/>
            </w:pPr>
            <w:r>
              <w:t>10</w:t>
            </w:r>
          </w:p>
        </w:tc>
        <w:tc>
          <w:tcPr>
            <w:tcW w:w="3135" w:type="dxa"/>
          </w:tcPr>
          <w:p w14:paraId="72146010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pressure_dmean</w:t>
            </w:r>
          </w:p>
        </w:tc>
        <w:tc>
          <w:tcPr>
            <w:tcW w:w="3135" w:type="dxa"/>
          </w:tcPr>
          <w:p w14:paraId="1EA833FD">
            <w:pPr>
              <w:spacing w:after="0" w:line="240" w:lineRule="auto"/>
            </w:pPr>
            <w:r>
              <w:t>0.049</w:t>
            </w:r>
          </w:p>
        </w:tc>
      </w:tr>
    </w:tbl>
    <w:p w14:paraId="71680784"/>
    <w:p w14:paraId="77FBAF7A">
      <w:r>
        <w:t>The ranking is dominated by electrical ripple/CoV features and the pressure baseline-deviation features — physically meaningful drivers (generator waveform content, hydraulic pressure collapse after a fault) rather than artifacts, which is evidence the model learned machine physics.</w:t>
      </w:r>
    </w:p>
    <w:p w14:paraId="1079A250">
      <w:r>
        <w:t xml:space="preserve">A </w:t>
      </w:r>
      <w:r>
        <w:rPr>
          <w:b/>
        </w:rPr>
        <w:t>feature-group ablation</w:t>
      </w:r>
      <w:r>
        <w:t xml:space="preserve"> (</w:t>
      </w:r>
      <w:r>
        <w:rPr>
          <w:rFonts w:ascii="Consolas" w:hAnsi="Consolas"/>
          <w:sz w:val="19"/>
        </w:rPr>
        <w:t>artifacts/feature_group_ablation.csv</w:t>
      </w:r>
      <w:r>
        <w:t>, run during the earlier flat-classifier exploration) directly tested the scale-invariance design claim by scoring the classifier on each feature group in isolation:</w:t>
      </w:r>
    </w:p>
    <w:p w14:paraId="7653152B">
      <w:pPr>
        <w:spacing w:after="240"/>
        <w:jc w:val="center"/>
      </w:pPr>
      <w:r>
        <w:rPr>
          <w:b/>
          <w:sz w:val="21"/>
        </w:rPr>
        <w:t>Table 5.4: Feature-Group Ablation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A85A5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2F5496"/>
          </w:tcPr>
          <w:p w14:paraId="266CFAA8">
            <w:pPr>
              <w:spacing w:after="0" w:line="240" w:lineRule="auto"/>
            </w:pPr>
            <w:r>
              <w:rPr>
                <w:b/>
                <w:color w:val="FFFFFF"/>
              </w:rPr>
              <w:t>Feature group</w:t>
            </w:r>
          </w:p>
        </w:tc>
        <w:tc>
          <w:tcPr>
            <w:tcW w:w="3135" w:type="dxa"/>
            <w:shd w:val="clear" w:color="auto" w:fill="2F5496"/>
          </w:tcPr>
          <w:p w14:paraId="6B61E74F">
            <w:pPr>
              <w:spacing w:after="0" w:line="240" w:lineRule="auto"/>
            </w:pPr>
            <w:r>
              <w:rPr>
                <w:b/>
                <w:color w:val="FFFFFF"/>
              </w:rPr>
              <w:t># Features</w:t>
            </w:r>
          </w:p>
        </w:tc>
        <w:tc>
          <w:tcPr>
            <w:tcW w:w="3135" w:type="dxa"/>
            <w:shd w:val="clear" w:color="auto" w:fill="2F5496"/>
          </w:tcPr>
          <w:p w14:paraId="21098332">
            <w:pPr>
              <w:spacing w:after="0" w:line="240" w:lineRule="auto"/>
            </w:pPr>
            <w:r>
              <w:rPr>
                <w:b/>
                <w:color w:val="FFFFFF"/>
              </w:rPr>
              <w:t>Macro F1</w:t>
            </w:r>
          </w:p>
        </w:tc>
      </w:tr>
      <w:tr w14:paraId="46989A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65BD96A">
            <w:pPr>
              <w:spacing w:after="0" w:line="240" w:lineRule="auto"/>
            </w:pPr>
            <w:r>
              <w:t>All features</w:t>
            </w:r>
          </w:p>
        </w:tc>
        <w:tc>
          <w:tcPr>
            <w:tcW w:w="3135" w:type="dxa"/>
          </w:tcPr>
          <w:p w14:paraId="3B66A47A">
            <w:pPr>
              <w:spacing w:after="0" w:line="240" w:lineRule="auto"/>
            </w:pPr>
            <w:r>
              <w:t>51</w:t>
            </w:r>
          </w:p>
        </w:tc>
        <w:tc>
          <w:tcPr>
            <w:tcW w:w="3135" w:type="dxa"/>
          </w:tcPr>
          <w:p w14:paraId="01DB40F3">
            <w:pPr>
              <w:spacing w:after="0" w:line="240" w:lineRule="auto"/>
            </w:pPr>
            <w:r>
              <w:t>0.494</w:t>
            </w:r>
          </w:p>
        </w:tc>
      </w:tr>
      <w:tr w14:paraId="412F74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D7E82BD">
            <w:pPr>
              <w:spacing w:after="0" w:line="240" w:lineRule="auto"/>
            </w:pPr>
            <w:r>
              <w:t>Scale-invariant only</w:t>
            </w:r>
          </w:p>
        </w:tc>
        <w:tc>
          <w:tcPr>
            <w:tcW w:w="3135" w:type="dxa"/>
          </w:tcPr>
          <w:p w14:paraId="2BCFA41E">
            <w:pPr>
              <w:spacing w:after="0" w:line="240" w:lineRule="auto"/>
            </w:pPr>
            <w:r>
              <w:t>39</w:t>
            </w:r>
          </w:p>
        </w:tc>
        <w:tc>
          <w:tcPr>
            <w:tcW w:w="3135" w:type="dxa"/>
          </w:tcPr>
          <w:p w14:paraId="735777AC">
            <w:pPr>
              <w:spacing w:after="0" w:line="240" w:lineRule="auto"/>
            </w:pPr>
            <w:r>
              <w:t>0.477</w:t>
            </w:r>
          </w:p>
        </w:tc>
      </w:tr>
      <w:tr w14:paraId="5CA509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A262196">
            <w:pPr>
              <w:spacing w:after="0" w:line="240" w:lineRule="auto"/>
            </w:pPr>
            <w:r>
              <w:t>Baseline-deviation only</w:t>
            </w:r>
          </w:p>
        </w:tc>
        <w:tc>
          <w:tcPr>
            <w:tcW w:w="3135" w:type="dxa"/>
          </w:tcPr>
          <w:p w14:paraId="020C70C6">
            <w:pPr>
              <w:spacing w:after="0" w:line="240" w:lineRule="auto"/>
            </w:pPr>
            <w:r>
              <w:t>12</w:t>
            </w:r>
          </w:p>
        </w:tc>
        <w:tc>
          <w:tcPr>
            <w:tcW w:w="3135" w:type="dxa"/>
          </w:tcPr>
          <w:p w14:paraId="387A7150">
            <w:pPr>
              <w:spacing w:after="0" w:line="240" w:lineRule="auto"/>
            </w:pPr>
            <w:r>
              <w:t>0.435</w:t>
            </w:r>
          </w:p>
        </w:tc>
      </w:tr>
    </w:tbl>
    <w:p w14:paraId="181213DB"/>
    <w:p w14:paraId="3772BB64">
      <w:r>
        <w:t>Scale-invariant features alone carry almost all of the signal, confirming that the design decision to exclude raw signal level was correct rather than merely convenient.</w:t>
      </w:r>
    </w:p>
    <w:p w14:paraId="6AD494C0">
      <w:pPr>
        <w:pStyle w:val="3"/>
      </w:pPr>
      <w:r>
        <w:t>5.6 Final Processed Dataset</w:t>
      </w:r>
    </w:p>
    <w:p w14:paraId="067DF62E">
      <w:r>
        <w:t>The processed dataset that feeds every model in Chapter 6 consists of:</w:t>
      </w:r>
    </w:p>
    <w:p w14:paraId="08EE3CE8">
      <w:pPr>
        <w:spacing w:after="240"/>
        <w:jc w:val="center"/>
      </w:pPr>
      <w:r>
        <w:rPr>
          <w:b/>
          <w:sz w:val="21"/>
        </w:rPr>
        <w:t>Table 5.5: Final Processed Dataset Summary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49E68B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2F5496"/>
          </w:tcPr>
          <w:p w14:paraId="444B30DD">
            <w:pPr>
              <w:spacing w:after="0" w:line="240" w:lineRule="auto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4703" w:type="dxa"/>
            <w:shd w:val="clear" w:color="auto" w:fill="2F5496"/>
          </w:tcPr>
          <w:p w14:paraId="67B5A98E">
            <w:pPr>
              <w:spacing w:after="0" w:line="240" w:lineRule="auto"/>
            </w:pPr>
            <w:r>
              <w:rPr>
                <w:b/>
                <w:color w:val="FFFFFF"/>
              </w:rPr>
              <w:t>Value</w:t>
            </w:r>
          </w:p>
        </w:tc>
      </w:tr>
      <w:tr w14:paraId="7340C7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67EBA05">
            <w:pPr>
              <w:spacing w:after="0" w:line="240" w:lineRule="auto"/>
            </w:pPr>
            <w:r>
              <w:t>Cached windows</w:t>
            </w:r>
          </w:p>
        </w:tc>
        <w:tc>
          <w:tcPr>
            <w:tcW w:w="4703" w:type="dxa"/>
          </w:tcPr>
          <w:p w14:paraId="174A8316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artifacts/windows.npz</w:t>
            </w:r>
          </w:p>
        </w:tc>
      </w:tr>
      <w:tr w14:paraId="0A5981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B9AD98F">
            <w:pPr>
              <w:spacing w:after="0" w:line="240" w:lineRule="auto"/>
            </w:pPr>
            <w:r>
              <w:t>Cached feature table</w:t>
            </w:r>
          </w:p>
        </w:tc>
        <w:tc>
          <w:tcPr>
            <w:tcW w:w="4703" w:type="dxa"/>
          </w:tcPr>
          <w:p w14:paraId="40726E66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artifacts/features.parquet</w:t>
            </w:r>
          </w:p>
        </w:tc>
      </w:tr>
      <w:tr w14:paraId="4A1FFE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66B4083">
            <w:pPr>
              <w:spacing w:after="0" w:line="240" w:lineRule="auto"/>
            </w:pPr>
            <w:r>
              <w:t>Total analysis windows</w:t>
            </w:r>
          </w:p>
        </w:tc>
        <w:tc>
          <w:tcPr>
            <w:tcW w:w="4703" w:type="dxa"/>
          </w:tcPr>
          <w:p w14:paraId="43FFBE47">
            <w:pPr>
              <w:spacing w:after="0" w:line="240" w:lineRule="auto"/>
            </w:pPr>
            <w:r>
              <w:t>248</w:t>
            </w:r>
          </w:p>
        </w:tc>
      </w:tr>
      <w:tr w14:paraId="3F5E00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2C75A72F">
            <w:pPr>
              <w:spacing w:after="0" w:line="240" w:lineRule="auto"/>
            </w:pPr>
            <w:r>
              <w:t>Windows used for Stage 2 (fault classes only)</w:t>
            </w:r>
          </w:p>
        </w:tc>
        <w:tc>
          <w:tcPr>
            <w:tcW w:w="4703" w:type="dxa"/>
          </w:tcPr>
          <w:p w14:paraId="21A29840">
            <w:pPr>
              <w:spacing w:after="0" w:line="240" w:lineRule="auto"/>
            </w:pPr>
            <w:r>
              <w:t>221 (Leakage 43 + PumpDisplacement 96 + GeneratorFault 82)</w:t>
            </w:r>
          </w:p>
        </w:tc>
      </w:tr>
      <w:tr w14:paraId="072F08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6BD9391A">
            <w:pPr>
              <w:spacing w:after="0" w:line="240" w:lineRule="auto"/>
            </w:pPr>
            <w:r>
              <w:t>Windows used for Stage 1 baseline</w:t>
            </w:r>
          </w:p>
        </w:tc>
        <w:tc>
          <w:tcPr>
            <w:tcW w:w="4703" w:type="dxa"/>
          </w:tcPr>
          <w:p w14:paraId="4CF25436">
            <w:pPr>
              <w:spacing w:after="0" w:line="240" w:lineRule="auto"/>
            </w:pPr>
            <w:r>
              <w:t>9 (Healthy)</w:t>
            </w:r>
          </w:p>
        </w:tc>
      </w:tr>
      <w:tr w14:paraId="35F9CD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454B027">
            <w:pPr>
              <w:spacing w:after="0" w:line="240" w:lineRule="auto"/>
            </w:pPr>
            <w:r>
              <w:t>Windows held out as the open-set validator</w:t>
            </w:r>
          </w:p>
        </w:tc>
        <w:tc>
          <w:tcPr>
            <w:tcW w:w="4703" w:type="dxa"/>
          </w:tcPr>
          <w:p w14:paraId="670DC303">
            <w:pPr>
              <w:spacing w:after="0" w:line="240" w:lineRule="auto"/>
            </w:pPr>
            <w:r>
              <w:t xml:space="preserve">18 (FlexibleShaft, </w:t>
            </w:r>
            <w:r>
              <w:rPr>
                <w:rFonts w:ascii="Consolas" w:hAnsi="Consolas"/>
                <w:sz w:val="19"/>
              </w:rPr>
              <w:t>Mild</w:t>
            </w:r>
            <w:r>
              <w:t xml:space="preserve"> run)</w:t>
            </w:r>
          </w:p>
        </w:tc>
      </w:tr>
      <w:tr w14:paraId="2682AB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4001C16A">
            <w:pPr>
              <w:spacing w:after="0" w:line="240" w:lineRule="auto"/>
            </w:pPr>
            <w:r>
              <w:t>Features per window</w:t>
            </w:r>
          </w:p>
        </w:tc>
        <w:tc>
          <w:tcPr>
            <w:tcW w:w="4703" w:type="dxa"/>
          </w:tcPr>
          <w:p w14:paraId="7BC86060">
            <w:pPr>
              <w:spacing w:after="0" w:line="240" w:lineRule="auto"/>
            </w:pPr>
            <w:r>
              <w:t>51</w:t>
            </w:r>
          </w:p>
        </w:tc>
      </w:tr>
      <w:tr w14:paraId="035861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27A5D362">
            <w:pPr>
              <w:spacing w:after="0" w:line="240" w:lineRule="auto"/>
            </w:pPr>
            <w:r>
              <w:t>Input channels</w:t>
            </w:r>
          </w:p>
        </w:tc>
        <w:tc>
          <w:tcPr>
            <w:tcW w:w="4703" w:type="dxa"/>
          </w:tcPr>
          <w:p w14:paraId="78D9474C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pressure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current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vdc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vac</w:t>
            </w:r>
          </w:p>
        </w:tc>
      </w:tr>
      <w:tr w14:paraId="0DF4D8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57277E49">
            <w:pPr>
              <w:spacing w:after="0" w:line="240" w:lineRule="auto"/>
            </w:pPr>
            <w:r>
              <w:t>Simulation runs</w:t>
            </w:r>
          </w:p>
        </w:tc>
        <w:tc>
          <w:tcPr>
            <w:tcW w:w="4703" w:type="dxa"/>
          </w:tcPr>
          <w:p w14:paraId="2F3B27C4">
            <w:pPr>
              <w:spacing w:after="0" w:line="240" w:lineRule="auto"/>
            </w:pPr>
            <w:r>
              <w:t xml:space="preserve">12 used (of 13 collected; </w:t>
            </w:r>
            <w:r>
              <w:rPr>
                <w:rFonts w:ascii="Consolas" w:hAnsi="Consolas"/>
                <w:sz w:val="19"/>
              </w:rPr>
              <w:t>Medium_FlexibleShaft_Fault</w:t>
            </w:r>
            <w:r>
              <w:t xml:space="preserve"> excluded by project decision)</w:t>
            </w:r>
          </w:p>
        </w:tc>
      </w:tr>
      <w:tr w14:paraId="54E368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46490D74">
            <w:pPr>
              <w:spacing w:after="0" w:line="240" w:lineRule="auto"/>
            </w:pPr>
            <w:r>
              <w:t>Excluded run</w:t>
            </w:r>
          </w:p>
        </w:tc>
        <w:tc>
          <w:tcPr>
            <w:tcW w:w="4703" w:type="dxa"/>
          </w:tcPr>
          <w:p w14:paraId="123D6EEA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Medium_FlexibleShaft_Fault</w:t>
            </w:r>
            <w:r>
              <w:t xml:space="preserve"> — does not generalise to the </w:t>
            </w:r>
            <w:r>
              <w:rPr>
                <w:rFonts w:ascii="Consolas" w:hAnsi="Consolas"/>
                <w:sz w:val="19"/>
              </w:rPr>
              <w:t>Mild</w:t>
            </w:r>
            <w:r>
              <w:t xml:space="preserve"> flex run (§7.6)</w:t>
            </w:r>
          </w:p>
        </w:tc>
      </w:tr>
    </w:tbl>
    <w:p w14:paraId="6398C513"/>
    <w:p w14:paraId="0F2FB0D0">
      <w:r>
        <w:t>This table (</w:t>
      </w:r>
      <w:r>
        <w:rPr>
          <w:rFonts w:ascii="Consolas" w:hAnsi="Consolas"/>
          <w:sz w:val="19"/>
        </w:rPr>
        <w:t>features.parquet</w:t>
      </w:r>
      <w:r>
        <w:t xml:space="preserve">, indexed by run/window with a </w:t>
      </w:r>
      <w:r>
        <w:rPr>
          <w:rFonts w:ascii="Consolas" w:hAnsi="Consolas"/>
          <w:sz w:val="19"/>
        </w:rPr>
        <w:t>label</w:t>
      </w:r>
      <w:r>
        <w:t xml:space="preserve"> column) is the single artifact consumed by every model comparison in Chapter 6 and every validation number in Chapter 7.</w:t>
      </w:r>
    </w:p>
    <w:p w14:paraId="62C75EB9">
      <w:pPr>
        <w:pStyle w:val="2"/>
      </w:pPr>
      <w:r>
        <w:t>CHAPTER 6 – MODEL DEVELOPMENT</w:t>
      </w:r>
    </w:p>
    <w:p w14:paraId="1046F5BE">
      <w:pPr>
        <w:pStyle w:val="3"/>
      </w:pPr>
      <w:r>
        <w:t>6.1 Model Development Strategy</w:t>
      </w:r>
    </w:p>
    <w:p w14:paraId="66ACC5F6">
      <w:r>
        <w:t>The project went through two architectures, and the switch between them is the single largest driver of the final result.</w:t>
      </w:r>
    </w:p>
    <w:p w14:paraId="496D99F1">
      <w:r>
        <w:rPr>
          <w:b/>
        </w:rPr>
        <w:t>Original design (rejected):</w:t>
      </w:r>
      <w:r>
        <w:t xml:space="preserve"> one flat 5-class classifier (</w:t>
      </w:r>
      <w:r>
        <w:rPr>
          <w:rFonts w:ascii="Consolas" w:hAnsi="Consolas"/>
          <w:sz w:val="19"/>
        </w:rPr>
        <w:t>Healthy</w:t>
      </w:r>
      <w:r>
        <w:t xml:space="preserve"> / </w:t>
      </w:r>
      <w:r>
        <w:rPr>
          <w:rFonts w:ascii="Consolas" w:hAnsi="Consolas"/>
          <w:sz w:val="19"/>
        </w:rPr>
        <w:t>Leakage</w:t>
      </w:r>
      <w:r>
        <w:t xml:space="preserve"> / </w:t>
      </w:r>
      <w:r>
        <w:rPr>
          <w:rFonts w:ascii="Consolas" w:hAnsi="Consolas"/>
          <w:sz w:val="19"/>
        </w:rPr>
        <w:t>PumpDisplacement</w:t>
      </w:r>
      <w:r>
        <w:t xml:space="preserve"> / </w:t>
      </w:r>
      <w:r>
        <w:rPr>
          <w:rFonts w:ascii="Consolas" w:hAnsi="Consolas"/>
          <w:sz w:val="19"/>
        </w:rPr>
        <w:t>GeneratorFault</w:t>
      </w:r>
      <w:r>
        <w:t xml:space="preserve"> / </w:t>
      </w:r>
      <w:r>
        <w:rPr>
          <w:rFonts w:ascii="Consolas" w:hAnsi="Consolas"/>
          <w:sz w:val="19"/>
        </w:rPr>
        <w:t>FlexibleShaft</w:t>
      </w:r>
      <w:r>
        <w:t xml:space="preserve">), validated with leave-one-run-out (LOGO) cross-validation. Four different models (Extra Trees, Random Forest, XGBoost, SVM-RBF) all landed within ~1% macro F1 of each other at </w:t>
      </w:r>
      <w:r>
        <w:rPr>
          <w:b/>
        </w:rPr>
        <w:t>macro F1 ≈ 0.49, accuracy ≈ 68.5%</w:t>
      </w:r>
      <w:r>
        <w:t xml:space="preserve"> (</w:t>
      </w:r>
      <w:r>
        <w:rPr>
          <w:rFonts w:ascii="Consolas" w:hAnsi="Consolas"/>
          <w:sz w:val="19"/>
        </w:rPr>
        <w:t>artifacts/model_comparison.csv</w:t>
      </w:r>
      <w:r>
        <w:t>). When independent model families agree that closely, the ceiling is in the *data*, not the *model*: Healthy has exactly one usable run, so whenever it falls in the held-out fold, the training fold contains zero healthy examples — Healthy recall is mathematically guaranteed to be 0%. FlexibleShaft's two runs (</w:t>
      </w:r>
      <w:r>
        <w:rPr>
          <w:rFonts w:ascii="Consolas" w:hAnsi="Consolas"/>
          <w:sz w:val="19"/>
        </w:rPr>
        <w:t>Mild</w:t>
      </w:r>
      <w:r>
        <w:t xml:space="preserve">, </w:t>
      </w:r>
      <w:r>
        <w:rPr>
          <w:rFonts w:ascii="Consolas" w:hAnsi="Consolas"/>
          <w:sz w:val="19"/>
        </w:rPr>
        <w:t>Medium</w:t>
      </w:r>
      <w:r>
        <w:t>) do not resemble each other (standardized centroid distance 5.3 vs. ~2–4 to other classes), so training on one and testing on the other also guarantees 0% both directions. Two guaranteed-zero classes out of five cap macro F1 at roughly 3/5 of whatever the three good classes achieve.</w:t>
      </w:r>
    </w:p>
    <w:p w14:paraId="09ABC184">
      <w:r>
        <w:rPr>
          <w:b/>
        </w:rPr>
        <w:t>Adopted design — two-stage pipeline</w:t>
      </w:r>
      <w:r>
        <w:t xml:space="preserve"> (</w:t>
      </w:r>
      <w:r>
        <w:rPr>
          <w:rFonts w:ascii="Consolas" w:hAnsi="Consolas"/>
          <w:sz w:val="19"/>
        </w:rPr>
        <w:t>07_two_stage_pipeline.ipynb</w:t>
      </w:r>
      <w:r>
        <w:t xml:space="preserve">, </w:t>
      </w:r>
      <w:r>
        <w:rPr>
          <w:rFonts w:ascii="Consolas" w:hAnsi="Consolas"/>
          <w:sz w:val="19"/>
        </w:rPr>
        <w:t>artifacts/two_stage_model.joblib</w:t>
      </w:r>
      <w:r>
        <w:t>):</w:t>
      </w:r>
    </w:p>
    <w:p w14:paraId="4756EBC6">
      <w:pPr>
        <w:pStyle w:val="29"/>
      </w:pPr>
      <w:r>
        <w:rPr>
          <w:b/>
        </w:rPr>
        <w:t>Stage 1 — Health Monitor:</w:t>
      </w:r>
      <w:r>
        <w:t xml:space="preserve"> a one-class Mahalanobis-distance anomaly</w:t>
      </w:r>
    </w:p>
    <w:p w14:paraId="7C55F344">
      <w:r>
        <w:t>detector, trained only on the healthy run, decides *healthy vs. anomalous*. This removes the unlearnable "Healthy" class from supervised training entirely and instead treats it as a reference distribution.</w:t>
      </w:r>
    </w:p>
    <w:p w14:paraId="4DCD834D">
      <w:pPr>
        <w:pStyle w:val="29"/>
      </w:pPr>
      <w:r>
        <w:rPr>
          <w:b/>
        </w:rPr>
        <w:t>Stage 2 — Fault Diagnoser:</w:t>
      </w:r>
      <w:r>
        <w:t xml:space="preserve"> a supervised classifier trained only on the</w:t>
      </w:r>
    </w:p>
    <w:p w14:paraId="45FF6F85">
      <w:r>
        <w:t>three fault classes that have multiple independent runs (Leakage, PumpDisplacement, GeneratorFault), each evaluated under LOGO.</w:t>
      </w:r>
    </w:p>
    <w:p w14:paraId="39D871B9">
      <w:pPr>
        <w:pStyle w:val="29"/>
      </w:pPr>
      <w:r>
        <w:rPr>
          <w:b/>
        </w:rPr>
        <w:t>Confidence gate:</w:t>
      </w:r>
      <w:r>
        <w:t xml:space="preserve"> Stage 2 only names a fault when its top predicted</w:t>
      </w:r>
    </w:p>
    <w:p w14:paraId="1A00632C">
      <w:r>
        <w:t>probability is ≥ 0.90; below that, the window is reported "Unknown fault" — this is what lets FlexibleShaft (never trained as a class) be handled safely instead of mislabeled.</w:t>
      </w:r>
    </w:p>
    <w:p w14:paraId="4AA84A49">
      <w:pPr>
        <w:jc w:val="center"/>
      </w:pPr>
      <w:r>
        <w:drawing>
          <wp:inline distT="0" distB="0" distL="114300" distR="114300">
            <wp:extent cx="5303520" cy="2700655"/>
            <wp:effectExtent l="0" t="0" r="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83EB">
      <w:pPr>
        <w:spacing w:after="240"/>
        <w:jc w:val="center"/>
      </w:pPr>
      <w:r>
        <w:rPr>
          <w:b/>
          <w:sz w:val="21"/>
        </w:rPr>
        <w:t>Figure 6.1: Stage 1 Mahalanobis-Distance Separation (Healthy vs. Fault Windows)</w:t>
      </w:r>
    </w:p>
    <w:p w14:paraId="116E98C1">
      <w:r>
        <w:t>Restructuring the problem this way — not switching to a "smarter" model — produced ~75% of the total improvement (flat ExtraTrees at 3 classes already reaches 0.820 macro F1, up from 0.494); the remaining gain came from upgrading the single classifier to a diversified voting ensemble (§6.3).</w:t>
      </w:r>
    </w:p>
    <w:p w14:paraId="52574162">
      <w:r>
        <w:rPr>
          <w:b/>
        </w:rPr>
        <w:t>Hyperparameter philosophy:</w:t>
      </w:r>
      <w:r>
        <w:t xml:space="preserve"> no hyperparameter search was run against the test folds. All settings are standard, conservative defaults appropriate for a small tabular dataset (500 trees for bagging methods; shallow trees / slow learning rate for boosting) — see §6.5.</w:t>
      </w:r>
    </w:p>
    <w:p w14:paraId="1B68DD83">
      <w:pPr>
        <w:pStyle w:val="3"/>
      </w:pPr>
      <w:r>
        <w:t>6.2 Classical Machine Learning Models</w:t>
      </w:r>
    </w:p>
    <w:p w14:paraId="25C66F9B">
      <w:r>
        <w:t>All Stage‑2 candidates were evaluated on identical inputs — 221 windows × 51 features, 3 classes, leave-one-run-out cross-validation (</w:t>
      </w:r>
      <w:r>
        <w:rPr>
          <w:rFonts w:ascii="Consolas" w:hAnsi="Consolas"/>
          <w:sz w:val="19"/>
        </w:rPr>
        <w:t>artifacts/two_stage_model_comparison.csv</w:t>
      </w:r>
      <w:r>
        <w:t>).</w:t>
      </w:r>
    </w:p>
    <w:p w14:paraId="50920709">
      <w:pPr>
        <w:spacing w:after="240"/>
        <w:jc w:val="center"/>
      </w:pPr>
      <w:r>
        <w:rPr>
          <w:b/>
          <w:sz w:val="21"/>
        </w:rPr>
        <w:t>Table 6.1: Stage 2 Candidate Model Comparison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60F71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2F5496"/>
          </w:tcPr>
          <w:p w14:paraId="504783D6">
            <w:pPr>
              <w:spacing w:after="0" w:line="240" w:lineRule="auto"/>
            </w:pPr>
            <w:r>
              <w:rPr>
                <w:b/>
                <w:color w:val="FFFFFF"/>
              </w:rPr>
              <w:t>Model</w:t>
            </w:r>
          </w:p>
        </w:tc>
        <w:tc>
          <w:tcPr>
            <w:tcW w:w="3135" w:type="dxa"/>
            <w:shd w:val="clear" w:color="auto" w:fill="2F5496"/>
          </w:tcPr>
          <w:p w14:paraId="7A7DA3C6">
            <w:pPr>
              <w:spacing w:after="0" w:line="240" w:lineRule="auto"/>
            </w:pPr>
            <w:r>
              <w:rPr>
                <w:b/>
                <w:color w:val="FFFFFF"/>
              </w:rPr>
              <w:t>Macro F1</w:t>
            </w:r>
          </w:p>
        </w:tc>
        <w:tc>
          <w:tcPr>
            <w:tcW w:w="3135" w:type="dxa"/>
            <w:shd w:val="clear" w:color="auto" w:fill="2F5496"/>
          </w:tcPr>
          <w:p w14:paraId="3EA802BA">
            <w:pPr>
              <w:spacing w:after="0" w:line="240" w:lineRule="auto"/>
            </w:pPr>
            <w:r>
              <w:rPr>
                <w:b/>
                <w:color w:val="FFFFFF"/>
              </w:rPr>
              <w:t>Accuracy</w:t>
            </w:r>
          </w:p>
        </w:tc>
      </w:tr>
      <w:tr w14:paraId="4D499C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AE6D136">
            <w:pPr>
              <w:spacing w:after="0" w:line="240" w:lineRule="auto"/>
            </w:pPr>
            <w:r>
              <w:rPr>
                <w:b/>
              </w:rPr>
              <w:t>Voting ensemble (ET+LGBM+CatBoost)</w:t>
            </w:r>
          </w:p>
        </w:tc>
        <w:tc>
          <w:tcPr>
            <w:tcW w:w="3135" w:type="dxa"/>
          </w:tcPr>
          <w:p w14:paraId="23696D32">
            <w:pPr>
              <w:spacing w:after="0" w:line="240" w:lineRule="auto"/>
            </w:pPr>
            <w:r>
              <w:rPr>
                <w:b/>
              </w:rPr>
              <w:t>0.906</w:t>
            </w:r>
          </w:p>
        </w:tc>
        <w:tc>
          <w:tcPr>
            <w:tcW w:w="3135" w:type="dxa"/>
          </w:tcPr>
          <w:p w14:paraId="383E21BA">
            <w:pPr>
              <w:spacing w:after="0" w:line="240" w:lineRule="auto"/>
            </w:pPr>
            <w:r>
              <w:rPr>
                <w:b/>
              </w:rPr>
              <w:t>89.1%</w:t>
            </w:r>
          </w:p>
        </w:tc>
      </w:tr>
      <w:tr w14:paraId="5871CF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CF18EBD">
            <w:pPr>
              <w:spacing w:after="0" w:line="240" w:lineRule="auto"/>
            </w:pPr>
            <w:r>
              <w:t>HistGradientBoosting</w:t>
            </w:r>
          </w:p>
        </w:tc>
        <w:tc>
          <w:tcPr>
            <w:tcW w:w="3135" w:type="dxa"/>
          </w:tcPr>
          <w:p w14:paraId="52A940CF">
            <w:pPr>
              <w:spacing w:after="0" w:line="240" w:lineRule="auto"/>
            </w:pPr>
            <w:r>
              <w:t>0.902</w:t>
            </w:r>
          </w:p>
        </w:tc>
        <w:tc>
          <w:tcPr>
            <w:tcW w:w="3135" w:type="dxa"/>
          </w:tcPr>
          <w:p w14:paraId="0859B63F">
            <w:pPr>
              <w:spacing w:after="0" w:line="240" w:lineRule="auto"/>
            </w:pPr>
            <w:r>
              <w:t>88.7%</w:t>
            </w:r>
          </w:p>
        </w:tc>
      </w:tr>
      <w:tr w14:paraId="2432BB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4F923B8">
            <w:pPr>
              <w:spacing w:after="0" w:line="240" w:lineRule="auto"/>
            </w:pPr>
            <w:r>
              <w:t>Random Forest</w:t>
            </w:r>
          </w:p>
        </w:tc>
        <w:tc>
          <w:tcPr>
            <w:tcW w:w="3135" w:type="dxa"/>
          </w:tcPr>
          <w:p w14:paraId="3B427C9D">
            <w:pPr>
              <w:spacing w:after="0" w:line="240" w:lineRule="auto"/>
            </w:pPr>
            <w:r>
              <w:t>0.897</w:t>
            </w:r>
          </w:p>
        </w:tc>
        <w:tc>
          <w:tcPr>
            <w:tcW w:w="3135" w:type="dxa"/>
          </w:tcPr>
          <w:p w14:paraId="4CD21620">
            <w:pPr>
              <w:spacing w:after="0" w:line="240" w:lineRule="auto"/>
            </w:pPr>
            <w:r>
              <w:t>88.2%</w:t>
            </w:r>
          </w:p>
        </w:tc>
      </w:tr>
      <w:tr w14:paraId="498951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0873E7D">
            <w:pPr>
              <w:spacing w:after="0" w:line="240" w:lineRule="auto"/>
            </w:pPr>
            <w:r>
              <w:t>LightGBM</w:t>
            </w:r>
          </w:p>
        </w:tc>
        <w:tc>
          <w:tcPr>
            <w:tcW w:w="3135" w:type="dxa"/>
          </w:tcPr>
          <w:p w14:paraId="5271432B">
            <w:pPr>
              <w:spacing w:after="0" w:line="240" w:lineRule="auto"/>
            </w:pPr>
            <w:r>
              <w:t>0.887</w:t>
            </w:r>
          </w:p>
        </w:tc>
        <w:tc>
          <w:tcPr>
            <w:tcW w:w="3135" w:type="dxa"/>
          </w:tcPr>
          <w:p w14:paraId="78861A4C">
            <w:pPr>
              <w:spacing w:after="0" w:line="240" w:lineRule="auto"/>
            </w:pPr>
            <w:r>
              <w:t>87.3%</w:t>
            </w:r>
          </w:p>
        </w:tc>
      </w:tr>
      <w:tr w14:paraId="5E5463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A21FEAE">
            <w:pPr>
              <w:spacing w:after="0" w:line="240" w:lineRule="auto"/>
            </w:pPr>
            <w:r>
              <w:t>Logistic Regression</w:t>
            </w:r>
          </w:p>
        </w:tc>
        <w:tc>
          <w:tcPr>
            <w:tcW w:w="3135" w:type="dxa"/>
          </w:tcPr>
          <w:p w14:paraId="64251EF6">
            <w:pPr>
              <w:spacing w:after="0" w:line="240" w:lineRule="auto"/>
            </w:pPr>
            <w:r>
              <w:t>0.872</w:t>
            </w:r>
          </w:p>
        </w:tc>
        <w:tc>
          <w:tcPr>
            <w:tcW w:w="3135" w:type="dxa"/>
          </w:tcPr>
          <w:p w14:paraId="3DB6AA08">
            <w:pPr>
              <w:spacing w:after="0" w:line="240" w:lineRule="auto"/>
            </w:pPr>
            <w:r>
              <w:t>85.5%</w:t>
            </w:r>
          </w:p>
        </w:tc>
      </w:tr>
      <w:tr w14:paraId="401618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1282F59">
            <w:pPr>
              <w:spacing w:after="0" w:line="240" w:lineRule="auto"/>
            </w:pPr>
            <w:r>
              <w:t>Extra Trees</w:t>
            </w:r>
          </w:p>
        </w:tc>
        <w:tc>
          <w:tcPr>
            <w:tcW w:w="3135" w:type="dxa"/>
          </w:tcPr>
          <w:p w14:paraId="618ADAEF">
            <w:pPr>
              <w:spacing w:after="0" w:line="240" w:lineRule="auto"/>
            </w:pPr>
            <w:r>
              <w:t>0.820</w:t>
            </w:r>
          </w:p>
        </w:tc>
        <w:tc>
          <w:tcPr>
            <w:tcW w:w="3135" w:type="dxa"/>
          </w:tcPr>
          <w:p w14:paraId="5051FCCE">
            <w:pPr>
              <w:spacing w:after="0" w:line="240" w:lineRule="auto"/>
            </w:pPr>
            <w:r>
              <w:t>80.1%</w:t>
            </w:r>
          </w:p>
        </w:tc>
      </w:tr>
      <w:tr w14:paraId="70840E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E142DA8">
            <w:pPr>
              <w:spacing w:after="0" w:line="240" w:lineRule="auto"/>
            </w:pPr>
            <w:r>
              <w:t>SVM (RBF)</w:t>
            </w:r>
          </w:p>
        </w:tc>
        <w:tc>
          <w:tcPr>
            <w:tcW w:w="3135" w:type="dxa"/>
          </w:tcPr>
          <w:p w14:paraId="056E8C3A">
            <w:pPr>
              <w:spacing w:after="0" w:line="240" w:lineRule="auto"/>
            </w:pPr>
            <w:r>
              <w:t>0.798</w:t>
            </w:r>
          </w:p>
        </w:tc>
        <w:tc>
          <w:tcPr>
            <w:tcW w:w="3135" w:type="dxa"/>
          </w:tcPr>
          <w:p w14:paraId="4C2836C0">
            <w:pPr>
              <w:spacing w:after="0" w:line="240" w:lineRule="auto"/>
            </w:pPr>
            <w:r>
              <w:t>80.1%</w:t>
            </w:r>
          </w:p>
        </w:tc>
      </w:tr>
    </w:tbl>
    <w:p w14:paraId="1F4A178E"/>
    <w:p w14:paraId="1F8CE692">
      <w:pPr>
        <w:jc w:val="center"/>
      </w:pPr>
      <w:r>
        <w:drawing>
          <wp:inline distT="0" distB="0" distL="114300" distR="114300">
            <wp:extent cx="5303520" cy="2425700"/>
            <wp:effectExtent l="0" t="0" r="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2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F1D1">
      <w:pPr>
        <w:spacing w:after="240"/>
        <w:jc w:val="center"/>
      </w:pPr>
      <w:r>
        <w:rPr>
          <w:b/>
          <w:sz w:val="21"/>
        </w:rPr>
        <w:t>Figure 6.2: Stage 2 Model Comparison (Leave-One-Run-Out, Macro F1 &amp; Accuracy)</w:t>
      </w:r>
    </w:p>
    <w:p w14:paraId="32AB1F5F">
      <w:pPr>
        <w:pStyle w:val="4"/>
      </w:pPr>
      <w:r>
        <w:t>Random Forest</w:t>
      </w:r>
    </w:p>
    <w:p w14:paraId="5C73C21E">
      <w:r>
        <w:t>Bagging of 500 decision trees, each trained on a bootstrap resample of the windows with a random feature subset considered at each split, combined by majority vote (</w:t>
      </w:r>
      <w:r>
        <w:rPr>
          <w:rFonts w:ascii="Consolas" w:hAnsi="Consolas"/>
          <w:sz w:val="19"/>
        </w:rPr>
        <w:t>RandomForestClassifier(500, class_weight="balanced", random_state=42)</w:t>
      </w:r>
      <w:r>
        <w:t>). It is the standard strong tabular baseline and scored 0.897 / 88.2% — close behind the deployed ensemble. Individual trees are wrong in different, uncorrelated ways, so the majority vote cancels out most of their errors.</w:t>
      </w:r>
    </w:p>
    <w:p w14:paraId="57672936">
      <w:pPr>
        <w:pStyle w:val="4"/>
      </w:pPr>
      <w:r>
        <w:t>Support Vector Machine (SVM)</w:t>
      </w:r>
    </w:p>
    <w:p w14:paraId="4618711B">
      <w:r>
        <w:t>An RBF-kernel maximum-margin classifier (</w:t>
      </w:r>
      <w:r>
        <w:rPr>
          <w:rFonts w:ascii="Consolas" w:hAnsi="Consolas"/>
          <w:sz w:val="19"/>
        </w:rPr>
        <w:t>SVC(C=10, class_weight="balanced", probability=True)</w:t>
      </w:r>
      <w:r>
        <w:t xml:space="preserve">) inside a </w:t>
      </w:r>
      <w:r>
        <w:rPr>
          <w:rFonts w:ascii="Consolas" w:hAnsi="Consolas"/>
          <w:sz w:val="19"/>
        </w:rPr>
        <w:t>StandardScaler</w:t>
      </w:r>
      <w:r>
        <w:t xml:space="preserve"> pipeline. It was the weakest model tested, at 0.798 / 80.1%. With 51 features, 221 windows, and a real distribution shift between train and held-out runs, its carefully-fit margin generalises worse than a tree vote; its Leakage recall (63%) was the main drag. Its inclusion served as a classical, non-tree sanity check on the feature space.</w:t>
      </w:r>
    </w:p>
    <w:p w14:paraId="6ED04438">
      <w:pPr>
        <w:pStyle w:val="4"/>
      </w:pPr>
      <w:r>
        <w:t>XGBoost</w:t>
      </w:r>
    </w:p>
    <w:p w14:paraId="4EC41DCD">
      <w:r>
        <w:t>A regularized gradient-boosting implementation, tested during the earlier feature-league exploration (</w:t>
      </w:r>
      <w:r>
        <w:rPr>
          <w:rFonts w:ascii="Consolas" w:hAnsi="Consolas"/>
          <w:sz w:val="19"/>
        </w:rPr>
        <w:t>05_train_compare.ipynb</w:t>
      </w:r>
      <w:r>
        <w:t xml:space="preserve">, </w:t>
      </w:r>
      <w:r>
        <w:rPr>
          <w:rFonts w:ascii="Consolas" w:hAnsi="Consolas"/>
          <w:sz w:val="19"/>
        </w:rPr>
        <w:t>artifacts/model_comparison.csv</w:t>
      </w:r>
      <w:r>
        <w:t xml:space="preserve">) where it scored </w:t>
      </w:r>
      <w:r>
        <w:rPr>
          <w:b/>
        </w:rPr>
        <w:t>macro F1 0.465 / accuracy 68.5%</w:t>
      </w:r>
      <w:r>
        <w:t xml:space="preserve"> — in line with the other flat 5-class models, i.e. capped by the same Healthy/FlexibleShaft data ceiling described in §6.1. In the two-stage pipeline it was tested again and scored comparably to HistGradientBoosting, but it </w:t>
      </w:r>
      <w:r>
        <w:rPr>
          <w:b/>
        </w:rPr>
        <w:t>errors on LOGO folds where a class is entirely missing from the training set</w:t>
      </w:r>
      <w:r>
        <w:t xml:space="preserve"> (which happens whenever a rare class's only runs are all held out); it was therefore dropped from the final Stage‑2 candidate set in favour of HistGradientBoosting, LightGBM, and CatBoost, which handle this gracefully.</w:t>
      </w:r>
    </w:p>
    <w:p w14:paraId="0320EF26">
      <w:pPr>
        <w:pStyle w:val="4"/>
      </w:pPr>
      <w:r>
        <w:t>Extra Trees</w:t>
      </w:r>
    </w:p>
    <w:p w14:paraId="12A0433E">
      <w:r>
        <w:t xml:space="preserve">Bagging of 500 trees like Random Forest, but each split threshold is chosen </w:t>
      </w:r>
      <w:r>
        <w:rPr>
          <w:b/>
        </w:rPr>
        <w:t>at random</w:t>
      </w:r>
      <w:r>
        <w:t xml:space="preserve"> rather than searched for optimality (</w:t>
      </w:r>
      <w:r>
        <w:rPr>
          <w:rFonts w:ascii="Consolas" w:hAnsi="Consolas"/>
          <w:sz w:val="19"/>
        </w:rPr>
        <w:t>ExtraTreesClassifier(500, class_weight="balanced", random_state=42)</w:t>
      </w:r>
      <w:r>
        <w:t>). Scored 0.820 / 80.1% as a standalone model — the extra randomness usually reduces overfitting, but with only 10 available training runs, random splits often land in uninformative places; GeneratorFault recall for standalone Extra Trees was only ~50% (vs. ~70% for boosted models), which explains its weaker solo rank. It is nonetheless one of the three members of the deployed voting ensemble, where its high-randomness errors partially cancel against the other two members' errors.</w:t>
      </w:r>
    </w:p>
    <w:p w14:paraId="5570E080">
      <w:pPr>
        <w:pStyle w:val="4"/>
      </w:pPr>
      <w:r>
        <w:t>LightGBM</w:t>
      </w:r>
    </w:p>
    <w:p w14:paraId="25656BE1">
      <w:r>
        <w:t>Gradient boosting with leaf-wise tree growth and histogram-binned features (</w:t>
      </w:r>
      <w:r>
        <w:rPr>
          <w:rFonts w:ascii="Consolas" w:hAnsi="Consolas"/>
          <w:sz w:val="19"/>
        </w:rPr>
        <w:t>LGBMClassifier(n_estimators=400, num_leaves=15, learning_rate=0.05, class_weight="balanced", random_state=42)</w:t>
      </w:r>
      <w:r>
        <w:t>). Scored 0.887 / 87.3% standalone. Boosting builds trees in sequence, each one fitting the previous ensemble's residual errors, which focuses model capacity on the hardest cases — here, separating GeneratorFault from PumpDisplacement. Leaf-wise growth can overfit small data, which is why leaf count is capped at 15 and the learning rate kept low (0.05).</w:t>
      </w:r>
    </w:p>
    <w:p w14:paraId="1DB15BAC">
      <w:pPr>
        <w:pStyle w:val="4"/>
      </w:pPr>
      <w:r>
        <w:t>CatBoost</w:t>
      </w:r>
    </w:p>
    <w:p w14:paraId="0FC2F3CB">
      <w:r>
        <w:t xml:space="preserve">Gradient boosting using </w:t>
      </w:r>
      <w:r>
        <w:rPr>
          <w:b/>
        </w:rPr>
        <w:t>ordered boosting</w:t>
      </w:r>
      <w:r>
        <w:t xml:space="preserve"> (</w:t>
      </w:r>
      <w:r>
        <w:rPr>
          <w:rFonts w:ascii="Consolas" w:hAnsi="Consolas"/>
          <w:sz w:val="19"/>
        </w:rPr>
        <w:t>CatBoostClassifier(iterations=400, depth=4, learning_rate=0.05)</w:t>
      </w:r>
      <w:r>
        <w:t>), in which each sample's residual is computed from a model that never saw that sample — a mechanism specifically designed to resist overfitting on small datasets like this one (221 windows). It is not reported as a standalone row in Table 6.1 because it is evaluated only as an ensemble member, but its ordered- boosting property is one of the two reasons (with LightGBM's leaf-wise boosting and Extra Trees' randomised bagging) the three chosen members make *different kinds* of mistakes — the property the ensemble exploits (§6.3).</w:t>
      </w:r>
    </w:p>
    <w:p w14:paraId="4A071CCF">
      <w:pPr>
        <w:pStyle w:val="3"/>
      </w:pPr>
      <w:r>
        <w:t>6.3 Ensemble Learning Framework</w:t>
      </w:r>
    </w:p>
    <w:p w14:paraId="4AB932A4">
      <w:r>
        <w:t xml:space="preserve">The deployed Stage‑2 classifier is a </w:t>
      </w:r>
      <w:r>
        <w:rPr>
          <w:b/>
        </w:rPr>
        <w:t>soft-voting ensemble</w:t>
      </w:r>
      <w:r>
        <w:t xml:space="preserve"> of three diversified members:</w:t>
      </w:r>
    </w:p>
    <w:p w14:paraId="04044CD3">
      <w:pPr>
        <w:shd w:val="clear" w:fill="F2F2F2"/>
        <w:ind w:left="432"/>
      </w:pPr>
      <w:r>
        <w:rPr>
          <w:rFonts w:ascii="Consolas" w:hAnsi="Consolas"/>
          <w:sz w:val="18"/>
        </w:rPr>
        <w:t>VotingClassifier([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("et",   ExtraTreesClassifier(500, class_weight="balanced", random_state=42, n_jobs=-1)),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("lgbm", LGBMClassifier(n_estimators=400, num_leaves=15, learning_rate=0.05,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         class_weight="balanced", random_state=42, verbosity=-1)),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("cat",  CatBoostClassifier(iterations=400, depth=4, learning_rate=0.05, ...)),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], voting="soft")</w:t>
      </w:r>
    </w:p>
    <w:p w14:paraId="0C1185E6">
      <w:r>
        <w:t xml:space="preserve">Soft voting averages the three members' predicted </w:t>
      </w:r>
      <w:r>
        <w:rPr>
          <w:b/>
        </w:rPr>
        <w:t>class probabilities</w:t>
      </w:r>
      <w:r>
        <w:t xml:space="preserve"> and picks the class with the highest average — as opposed to hard voting, which would only average discrete predicted labels. This was chosen because:</w:t>
      </w:r>
    </w:p>
    <w:p w14:paraId="2EBC6A11">
      <w:pPr>
        <w:pStyle w:val="23"/>
      </w:pPr>
      <w:r>
        <w:rPr>
          <w:b/>
        </w:rPr>
        <w:t>The three members make different kinds of mistakes.</w:t>
      </w:r>
      <w:r>
        <w:t xml:space="preserve"> Extra Trees is</w:t>
      </w:r>
    </w:p>
    <w:p w14:paraId="218BBFDA">
      <w:r>
        <w:t>high-randomness bagging, LightGBM is leaf-wise sequential boosting, and CatBoost is ordered-residual boosting. Averaging retains the signal the three agree on and washes out each member's individual quirks.</w:t>
      </w:r>
    </w:p>
    <w:p w14:paraId="7814217F">
      <w:pPr>
        <w:pStyle w:val="23"/>
      </w:pPr>
      <w:r>
        <w:rPr>
          <w:b/>
        </w:rPr>
        <w:t>The ensemble beats every individual member</w:t>
      </w:r>
      <w:r>
        <w:t>, including its own</w:t>
      </w:r>
    </w:p>
    <w:p w14:paraId="56C1344E">
      <w:r>
        <w:t>strongest constituent (Extra Trees alone: 0.820 → inside the ensemble: 0.906).</w:t>
      </w:r>
    </w:p>
    <w:p w14:paraId="1ACBEFF9">
      <w:pPr>
        <w:pStyle w:val="23"/>
      </w:pPr>
      <w:r>
        <w:rPr>
          <w:b/>
        </w:rPr>
        <w:t>Averaged probabilities are better calibrated</w:t>
      </w:r>
      <w:r>
        <w:t xml:space="preserve"> than any single member's,</w:t>
      </w:r>
    </w:p>
    <w:p w14:paraId="71233EFB">
      <w:r>
        <w:t>which the downstream confidence gate directly depends on (§10 of the main report).</w:t>
      </w:r>
    </w:p>
    <w:p w14:paraId="4425DA7F">
      <w:pPr>
        <w:pStyle w:val="23"/>
      </w:pPr>
      <w:r>
        <w:rPr>
          <w:b/>
        </w:rPr>
        <w:t>Class imbalance</w:t>
      </w:r>
      <w:r>
        <w:t xml:space="preserve"> (43 / 96 / 82 windows across the three classes) is</w:t>
      </w:r>
    </w:p>
    <w:p w14:paraId="04A14973">
      <w:r>
        <w:t xml:space="preserve">handled by </w:t>
      </w:r>
      <w:r>
        <w:rPr>
          <w:rFonts w:ascii="Consolas" w:hAnsi="Consolas"/>
          <w:sz w:val="19"/>
        </w:rPr>
        <w:t>class_weight="balanced"</w:t>
      </w:r>
      <w:r>
        <w:t xml:space="preserve"> in every member, giving each class equal weight in the loss — not by synthetic oversampling (e.g. SMOTE), which was deliberately avoided: interpolating between overlapping windows of the same run would manufacture fake "independent" samples and corrupt the leave-one-run-out validation.</w:t>
      </w:r>
    </w:p>
    <w:p w14:paraId="5457DB66">
      <w:pPr>
        <w:pStyle w:val="3"/>
      </w:pPr>
      <w:r>
        <w:t>6.4 Deep Learning Model (LSTM)</w:t>
      </w:r>
    </w:p>
    <w:p w14:paraId="3BB02EE0">
      <w:r>
        <w:t xml:space="preserve">A sequence-model path was scoped alongside the classical/ensemble path in </w:t>
      </w:r>
      <w:r>
        <w:rPr>
          <w:rFonts w:ascii="Consolas" w:hAnsi="Consolas"/>
          <w:sz w:val="19"/>
        </w:rPr>
        <w:t>05_train_compare.ipynb</w:t>
      </w:r>
      <w:r>
        <w:t xml:space="preserve">, structured as two independent "leagues" that are never cross-ranked: a </w:t>
      </w:r>
      <w:r>
        <w:rPr>
          <w:b/>
        </w:rPr>
        <w:t>feature league</w:t>
      </w:r>
      <w:r>
        <w:t xml:space="preserve"> (Random Forest / Extra Trees / XGBoost / SVM on the 51 engineered features) and a </w:t>
      </w:r>
      <w:r>
        <w:rPr>
          <w:b/>
        </w:rPr>
        <w:t>sequence league</w:t>
      </w:r>
      <w:r>
        <w:t xml:space="preserve"> (an LSTM trained directly on raw window sequences, without hand-engineered features), with the sequence league gated to run "only if TensorFlow is installed."</w:t>
      </w:r>
    </w:p>
    <w:p w14:paraId="266BAB36">
      <w:r>
        <w:t xml:space="preserve">TensorFlow was </w:t>
      </w:r>
      <w:r>
        <w:rPr>
          <w:b/>
        </w:rPr>
        <w:t>not available in the project's execution environment</w:t>
      </w:r>
      <w:r>
        <w:t xml:space="preserve">, so the LSTM league did not run; </w:t>
      </w:r>
      <w:r>
        <w:rPr>
          <w:rFonts w:ascii="Consolas" w:hAnsi="Consolas"/>
          <w:sz w:val="19"/>
        </w:rPr>
        <w:t>artifacts/model_comparison.csv</w:t>
      </w:r>
      <w:r>
        <w:t xml:space="preserve"> records only the feature-league results, with the sequence league explicitly noted as skipped (</w:t>
      </w:r>
      <w:r>
        <w:rPr>
          <w:rFonts w:ascii="Consolas" w:hAnsi="Consolas"/>
          <w:sz w:val="19"/>
        </w:rPr>
        <w:t>wiki/results.md</w:t>
      </w:r>
      <w:r>
        <w:t xml:space="preserve">). No LSTM model was therefore trained, tuned, or evaluated, and </w:t>
      </w:r>
      <w:r>
        <w:rPr>
          <w:b/>
        </w:rPr>
        <w:t>no deep-learning results are reported</w:t>
      </w:r>
      <w:r>
        <w:t xml:space="preserve"> in this project — the deployed system is entirely classical machine learning (Chapter 6.2–6.3).</w:t>
      </w:r>
    </w:p>
    <w:p w14:paraId="3AA34D03">
      <w:r>
        <w:t xml:space="preserve">This is consistent with the size of the dataset: with only 12 usable simulation runs (221 fault windows), a sequence model with materially more parameters than the ~50-feature tree ensembles would be expected to overfit before it could learn a signal the tree ensembles could not already extract — the Logistic Regression result (0.872 macro F1 with a linear decision boundary, §6.2) is itself evidence that the engineered feature space is already close to linearly separable, so the marginal benefit of a deep sequence model on this dataset size is expected to be small. Enabling the LSTM league (installing TensorFlow and re-running the sequence league in </w:t>
      </w:r>
      <w:r>
        <w:rPr>
          <w:rFonts w:ascii="Consolas" w:hAnsi="Consolas"/>
          <w:sz w:val="19"/>
        </w:rPr>
        <w:t>05_train_compare.ipynb</w:t>
      </w:r>
      <w:r>
        <w:t>) is noted as a natural extension once more simulation runs are collected (see Chapter 7.6 / main report §15, Future Work).</w:t>
      </w:r>
    </w:p>
    <w:p w14:paraId="37A546A0">
      <w:pPr>
        <w:pStyle w:val="3"/>
      </w:pPr>
      <w:r>
        <w:t>6.5 Hyperparameter Tuning</w:t>
      </w:r>
    </w:p>
    <w:p w14:paraId="6546F79D">
      <w:r>
        <w:t>No formal search (grid search / randomized search / Bayesian optimisation) was run against the validation folds, by deliberate design choice, for two reasons: (1) with only 10–12 usable runs and leave-one-run-out folds, tuning hyperparameters against those same folds would itself be a leakage channel — the reported metrics would stop being an honest estimate of out-of-run performance; and (2) the dataset is small enough that standard, conservative default settings for small tabular data are already appropriate and unlikely to be meaningfully beaten by a search that could just as easily overfit the folds it is scored on.</w:t>
      </w:r>
    </w:p>
    <w:p w14:paraId="4C0FCC40">
      <w:r>
        <w:t>The settings actually used were chosen once, from standard practice for small-sample tabular boosting/bagging, and then frozen:</w:t>
      </w:r>
    </w:p>
    <w:p w14:paraId="5E20A4B0">
      <w:pPr>
        <w:spacing w:after="240"/>
        <w:jc w:val="center"/>
      </w:pPr>
      <w:r>
        <w:rPr>
          <w:b/>
          <w:sz w:val="21"/>
        </w:rPr>
        <w:t>Table 6.2: Model Hyperparameter Configuration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F17B0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2F5496"/>
          </w:tcPr>
          <w:p w14:paraId="0AA43DBD">
            <w:pPr>
              <w:spacing w:after="0" w:line="240" w:lineRule="auto"/>
            </w:pPr>
            <w:r>
              <w:rPr>
                <w:b/>
                <w:color w:val="FFFFFF"/>
              </w:rPr>
              <w:t>Model</w:t>
            </w:r>
          </w:p>
        </w:tc>
        <w:tc>
          <w:tcPr>
            <w:tcW w:w="3135" w:type="dxa"/>
            <w:shd w:val="clear" w:color="auto" w:fill="2F5496"/>
          </w:tcPr>
          <w:p w14:paraId="22B7979D">
            <w:pPr>
              <w:spacing w:after="0" w:line="240" w:lineRule="auto"/>
            </w:pPr>
            <w:r>
              <w:rPr>
                <w:b/>
                <w:color w:val="FFFFFF"/>
              </w:rPr>
              <w:t>Configuration</w:t>
            </w:r>
          </w:p>
        </w:tc>
        <w:tc>
          <w:tcPr>
            <w:tcW w:w="3135" w:type="dxa"/>
            <w:shd w:val="clear" w:color="auto" w:fill="2F5496"/>
          </w:tcPr>
          <w:p w14:paraId="39C19E78">
            <w:pPr>
              <w:spacing w:after="0" w:line="240" w:lineRule="auto"/>
            </w:pPr>
            <w:r>
              <w:rPr>
                <w:b/>
                <w:color w:val="FFFFFF"/>
              </w:rPr>
              <w:t>Rationale</w:t>
            </w:r>
          </w:p>
        </w:tc>
      </w:tr>
      <w:tr w14:paraId="4412D1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BA48FF2">
            <w:pPr>
              <w:spacing w:after="0" w:line="240" w:lineRule="auto"/>
            </w:pPr>
            <w:r>
              <w:t>Extra Trees</w:t>
            </w:r>
          </w:p>
        </w:tc>
        <w:tc>
          <w:tcPr>
            <w:tcW w:w="3135" w:type="dxa"/>
          </w:tcPr>
          <w:p w14:paraId="68537A7A">
            <w:pPr>
              <w:spacing w:after="0" w:line="240" w:lineRule="auto"/>
            </w:pPr>
            <w:r>
              <w:t xml:space="preserve">500 trees, </w:t>
            </w:r>
            <w:r>
              <w:rPr>
                <w:rFonts w:ascii="Consolas" w:hAnsi="Consolas"/>
                <w:sz w:val="19"/>
              </w:rPr>
              <w:t>class_weight="balanced"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random_state=42</w:t>
            </w:r>
          </w:p>
        </w:tc>
        <w:tc>
          <w:tcPr>
            <w:tcW w:w="3135" w:type="dxa"/>
          </w:tcPr>
          <w:p w14:paraId="0899E905">
            <w:pPr>
              <w:spacing w:after="0" w:line="240" w:lineRule="auto"/>
            </w:pPr>
            <w:r>
              <w:t>more trees than strictly needed cost little extra compute and reduce variance</w:t>
            </w:r>
          </w:p>
        </w:tc>
      </w:tr>
      <w:tr w14:paraId="0B450D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02A1357">
            <w:pPr>
              <w:spacing w:after="0" w:line="240" w:lineRule="auto"/>
            </w:pPr>
            <w:r>
              <w:t>Random Forest</w:t>
            </w:r>
          </w:p>
        </w:tc>
        <w:tc>
          <w:tcPr>
            <w:tcW w:w="3135" w:type="dxa"/>
          </w:tcPr>
          <w:p w14:paraId="223D56E9">
            <w:pPr>
              <w:spacing w:after="0" w:line="240" w:lineRule="auto"/>
            </w:pPr>
            <w:r>
              <w:t xml:space="preserve">500 trees, </w:t>
            </w:r>
            <w:r>
              <w:rPr>
                <w:rFonts w:ascii="Consolas" w:hAnsi="Consolas"/>
                <w:sz w:val="19"/>
              </w:rPr>
              <w:t>class_weight="balanced"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random_state=42</w:t>
            </w:r>
          </w:p>
        </w:tc>
        <w:tc>
          <w:tcPr>
            <w:tcW w:w="3135" w:type="dxa"/>
          </w:tcPr>
          <w:p w14:paraId="1892D1B3">
            <w:pPr>
              <w:spacing w:after="0" w:line="240" w:lineRule="auto"/>
            </w:pPr>
            <w:r>
              <w:t>same</w:t>
            </w:r>
          </w:p>
        </w:tc>
      </w:tr>
      <w:tr w14:paraId="5910D6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4007335">
            <w:pPr>
              <w:spacing w:after="0" w:line="240" w:lineRule="auto"/>
            </w:pPr>
            <w:r>
              <w:t>LightGBM</w:t>
            </w:r>
          </w:p>
        </w:tc>
        <w:tc>
          <w:tcPr>
            <w:tcW w:w="3135" w:type="dxa"/>
          </w:tcPr>
          <w:p w14:paraId="2BAB9941">
            <w:pPr>
              <w:spacing w:after="0" w:line="240" w:lineRule="auto"/>
            </w:pPr>
            <w:r>
              <w:t xml:space="preserve">400 iterations, </w:t>
            </w:r>
            <w:r>
              <w:rPr>
                <w:rFonts w:ascii="Consolas" w:hAnsi="Consolas"/>
                <w:sz w:val="19"/>
              </w:rPr>
              <w:t>num_leaves=15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learning_rate=0.05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class_weight="balanced"</w:t>
            </w:r>
          </w:p>
        </w:tc>
        <w:tc>
          <w:tcPr>
            <w:tcW w:w="3135" w:type="dxa"/>
          </w:tcPr>
          <w:p w14:paraId="1E3A896F">
            <w:pPr>
              <w:spacing w:after="0" w:line="240" w:lineRule="auto"/>
            </w:pPr>
            <w:r>
              <w:t>shallow leaves + slow learning rate is the standard guard against boosting overfitting on ~221 samples</w:t>
            </w:r>
          </w:p>
        </w:tc>
      </w:tr>
      <w:tr w14:paraId="7C7FED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26070A0">
            <w:pPr>
              <w:spacing w:after="0" w:line="240" w:lineRule="auto"/>
            </w:pPr>
            <w:r>
              <w:t>CatBoost</w:t>
            </w:r>
          </w:p>
        </w:tc>
        <w:tc>
          <w:tcPr>
            <w:tcW w:w="3135" w:type="dxa"/>
          </w:tcPr>
          <w:p w14:paraId="0A4B763F">
            <w:pPr>
              <w:spacing w:after="0" w:line="240" w:lineRule="auto"/>
            </w:pPr>
            <w:r>
              <w:t xml:space="preserve">400 iterations, </w:t>
            </w:r>
            <w:r>
              <w:rPr>
                <w:rFonts w:ascii="Consolas" w:hAnsi="Consolas"/>
                <w:sz w:val="19"/>
              </w:rPr>
              <w:t>depth=4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learning_rate=0.05</w:t>
            </w:r>
          </w:p>
        </w:tc>
        <w:tc>
          <w:tcPr>
            <w:tcW w:w="3135" w:type="dxa"/>
          </w:tcPr>
          <w:p w14:paraId="01E3952E">
            <w:pPr>
              <w:spacing w:after="0" w:line="240" w:lineRule="auto"/>
            </w:pPr>
            <w:r>
              <w:t>shallow depth + slow learning rate, same rationale; ordered boosting adds a second overfitting guard</w:t>
            </w:r>
          </w:p>
        </w:tc>
      </w:tr>
      <w:tr w14:paraId="69BD1B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FD61303">
            <w:pPr>
              <w:spacing w:after="0" w:line="240" w:lineRule="auto"/>
            </w:pPr>
            <w:r>
              <w:t>SVM-RBF</w:t>
            </w:r>
          </w:p>
        </w:tc>
        <w:tc>
          <w:tcPr>
            <w:tcW w:w="3135" w:type="dxa"/>
          </w:tcPr>
          <w:p w14:paraId="426E09EB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C=10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class_weight="balanced"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probability=True</w:t>
            </w:r>
          </w:p>
        </w:tc>
        <w:tc>
          <w:tcPr>
            <w:tcW w:w="3135" w:type="dxa"/>
          </w:tcPr>
          <w:p w14:paraId="3EC05651">
            <w:pPr>
              <w:spacing w:after="0" w:line="240" w:lineRule="auto"/>
            </w:pPr>
            <w:r>
              <w:t>moderate regularisation strength for the RBF margin</w:t>
            </w:r>
          </w:p>
        </w:tc>
      </w:tr>
      <w:tr w14:paraId="0A5596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836B09E">
            <w:pPr>
              <w:spacing w:after="0" w:line="240" w:lineRule="auto"/>
            </w:pPr>
            <w:r>
              <w:t>Logistic Regression</w:t>
            </w:r>
          </w:p>
        </w:tc>
        <w:tc>
          <w:tcPr>
            <w:tcW w:w="3135" w:type="dxa"/>
          </w:tcPr>
          <w:p w14:paraId="47B52473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max_iter=2000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class_weight="balanced"</w:t>
            </w:r>
          </w:p>
        </w:tc>
        <w:tc>
          <w:tcPr>
            <w:tcW w:w="3135" w:type="dxa"/>
          </w:tcPr>
          <w:p w14:paraId="4D8F8C32">
            <w:pPr>
              <w:spacing w:after="0" w:line="240" w:lineRule="auto"/>
            </w:pPr>
            <w:r>
              <w:t>run to convergence; no regularisation search performed</w:t>
            </w:r>
          </w:p>
        </w:tc>
      </w:tr>
    </w:tbl>
    <w:p w14:paraId="5E5C9B89"/>
    <w:p w14:paraId="595018C4">
      <w:r>
        <w:rPr>
          <w:b/>
        </w:rPr>
        <w:t>Stage 1</w:t>
      </w:r>
      <w:r>
        <w:t xml:space="preserve"> has one tuned constant: the anomaly threshold, set at </w:t>
      </w:r>
      <w:r>
        <w:rPr>
          <w:b/>
        </w:rPr>
        <w:t>1.5 × the worst (maximum-distance) healthy window</w:t>
      </w:r>
      <w:r>
        <w:t xml:space="preserve"> — a documented safety margin above the empirical healthy maximum, not a value fit to the fault data. </w:t>
      </w:r>
      <w:r>
        <w:rPr>
          <w:b/>
        </w:rPr>
        <w:t>Stage 2</w:t>
      </w:r>
      <w:r>
        <w:t xml:space="preserve"> has one tuned constant: the </w:t>
      </w:r>
      <w:r>
        <w:rPr>
          <w:b/>
        </w:rPr>
        <w:t>confidence gate at 0.90</w:t>
      </w:r>
      <w:r>
        <w:t>, which was itself selected by comparing two candidate values against measured outcomes rather than chosen arbitrarily (§7.3 below; main report §10.1).</w:t>
      </w:r>
    </w:p>
    <w:p w14:paraId="688755DE">
      <w:pPr>
        <w:pStyle w:val="3"/>
      </w:pPr>
      <w:r>
        <w:t>6.6 Training Methodology</w:t>
      </w:r>
    </w:p>
    <w:p w14:paraId="22377289">
      <w:pPr>
        <w:pStyle w:val="29"/>
      </w:pPr>
      <w:r>
        <w:rPr>
          <w:b/>
        </w:rPr>
        <w:t>Data split unit = simulation run, never a window.</w:t>
      </w:r>
      <w:r>
        <w:t xml:space="preserve"> Every training run</w:t>
      </w:r>
    </w:p>
    <w:p w14:paraId="5D6A8598">
      <w:r>
        <w:t xml:space="preserve">uses </w:t>
      </w:r>
      <w:r>
        <w:rPr>
          <w:rFonts w:ascii="Consolas" w:hAnsi="Consolas"/>
          <w:sz w:val="19"/>
        </w:rPr>
        <w:t>LeaveOneGroupOut</w:t>
      </w:r>
      <w:r>
        <w:t xml:space="preserve"> (scikit-learn) with </w:t>
      </w:r>
      <w:r>
        <w:rPr>
          <w:rFonts w:ascii="Consolas" w:hAnsi="Consolas"/>
          <w:sz w:val="19"/>
        </w:rPr>
        <w:t>groups = run_id</w:t>
      </w:r>
      <w:r>
        <w:t>, so that no window from a held-out run's sibling windows ever appears in the training fold. This is the single most important methodological decision in the project (§7.3).</w:t>
      </w:r>
    </w:p>
    <w:p w14:paraId="0C3E414F">
      <w:pPr>
        <w:pStyle w:val="29"/>
      </w:pPr>
      <w:r>
        <w:rPr>
          <w:b/>
        </w:rPr>
        <w:t>Stage 1 training set:</w:t>
      </w:r>
      <w:r>
        <w:t xml:space="preserve"> the 9 windows of the one healthy run only. A</w:t>
      </w:r>
    </w:p>
    <w:p w14:paraId="22FB060D">
      <w:r>
        <w:rPr>
          <w:rFonts w:ascii="Consolas" w:hAnsi="Consolas"/>
          <w:sz w:val="19"/>
        </w:rPr>
        <w:t>RobustScaler</w:t>
      </w:r>
      <w:r>
        <w:t xml:space="preserve"> and a </w:t>
      </w:r>
      <w:r>
        <w:rPr>
          <w:rFonts w:ascii="Consolas" w:hAnsi="Consolas"/>
          <w:sz w:val="19"/>
        </w:rPr>
        <w:t>LedoitWolf</w:t>
      </w:r>
      <w:r>
        <w:t>-shrinkage covariance are fit on this set; Ledoit-Wolf shrinkage is required specifically because a plain sample covariance matrix is singular whenever the sample count (9) is smaller than the feature count (51).</w:t>
      </w:r>
    </w:p>
    <w:p w14:paraId="2543A3CB">
      <w:pPr>
        <w:pStyle w:val="29"/>
      </w:pPr>
      <w:r>
        <w:rPr>
          <w:b/>
        </w:rPr>
        <w:t>Stage 2 training set:</w:t>
      </w:r>
      <w:r>
        <w:t xml:space="preserve"> 221 windows across the three fault classes</w:t>
      </w:r>
    </w:p>
    <w:p w14:paraId="52102C89">
      <w:r>
        <w:t xml:space="preserve">(Leakage, PumpDisplacement, GeneratorFault); </w:t>
      </w:r>
      <w:r>
        <w:rPr>
          <w:rFonts w:ascii="Consolas" w:hAnsi="Consolas"/>
          <w:sz w:val="19"/>
        </w:rPr>
        <w:t>FlexibleShaft</w:t>
      </w:r>
      <w:r>
        <w:t xml:space="preserve"> windows are never used in Stage 2 training — they are reserved entirely as an out-of-distribution validation set for the confidence gate (§7.3/§7.6).</w:t>
      </w:r>
    </w:p>
    <w:p w14:paraId="7D163D82">
      <w:pPr>
        <w:pStyle w:val="29"/>
      </w:pPr>
      <w:r>
        <w:rPr>
          <w:b/>
        </w:rPr>
        <w:t>Per-fold procedure:</w:t>
      </w:r>
      <w:r>
        <w:t xml:space="preserve"> for each of the 10 fault runs, train Stage 2 on</w:t>
      </w:r>
    </w:p>
    <w:p w14:paraId="5C378918">
      <w:r>
        <w:t>the other 9 runs, predict every window of the held-out run, and pool all out-of-fold predictions before computing any metric (</w:t>
      </w:r>
      <w:r>
        <w:rPr>
          <w:rFonts w:ascii="Consolas" w:hAnsi="Consolas"/>
          <w:sz w:val="19"/>
        </w:rPr>
        <w:t>cross_val_predict</w:t>
      </w:r>
      <w:r>
        <w:t xml:space="preserve"> with </w:t>
      </w:r>
      <w:r>
        <w:rPr>
          <w:rFonts w:ascii="Consolas" w:hAnsi="Consolas"/>
          <w:sz w:val="19"/>
        </w:rPr>
        <w:t>LeaveOneGroupOut</w:t>
      </w:r>
      <w:r>
        <w:t>).</w:t>
      </w:r>
    </w:p>
    <w:p w14:paraId="26F9669F">
      <w:pPr>
        <w:pStyle w:val="29"/>
      </w:pPr>
      <w:r>
        <w:rPr>
          <w:b/>
        </w:rPr>
        <w:t>Final deployed model:</w:t>
      </w:r>
      <w:r>
        <w:t xml:space="preserve"> after validation, the Stage 1 detector and the</w:t>
      </w:r>
    </w:p>
    <w:p w14:paraId="561BD420">
      <w:r>
        <w:t xml:space="preserve">Stage 2 voting ensemble are each </w:t>
      </w:r>
      <w:r>
        <w:rPr>
          <w:b/>
        </w:rPr>
        <w:t>refit on the entire available dataset</w:t>
      </w:r>
      <w:r>
        <w:t xml:space="preserve"> (all runs) and frozen together into one bundle, </w:t>
      </w:r>
      <w:r>
        <w:rPr>
          <w:rFonts w:ascii="Consolas" w:hAnsi="Consolas"/>
          <w:sz w:val="19"/>
        </w:rPr>
        <w:t>artifacts/two_stage_model.joblib</w:t>
      </w:r>
      <w:r>
        <w:t>, alongside the scaler, covariance, threshold, class names, feature column order, and the 0.90 gate — the exact same bundle the Streamlit dashboard loads at inference time.</w:t>
      </w:r>
    </w:p>
    <w:p w14:paraId="7048388F">
      <w:pPr>
        <w:pStyle w:val="29"/>
      </w:pPr>
      <w:r>
        <w:rPr>
          <w:b/>
        </w:rPr>
        <w:t>No test-time leakage into training:</w:t>
      </w:r>
      <w:r>
        <w:t xml:space="preserve"> the raw training data is not</w:t>
      </w:r>
    </w:p>
    <w:p w14:paraId="550D64EE">
      <w:r>
        <w:t xml:space="preserve">required to run the deployed model; the frozen bundle plus </w:t>
      </w:r>
      <w:r>
        <w:rPr>
          <w:rFonts w:ascii="Consolas" w:hAnsi="Consolas"/>
          <w:sz w:val="19"/>
        </w:rPr>
        <w:t>pdm_common.py</w:t>
      </w:r>
      <w:r>
        <w:t xml:space="preserve"> is sufficient.</w:t>
      </w:r>
    </w:p>
    <w:p w14:paraId="42A945F3">
      <w:pPr>
        <w:pStyle w:val="2"/>
      </w:pPr>
      <w:r>
        <w:t>CHAPTER 7 – MODEL TESTING &amp; VALIDATION</w:t>
      </w:r>
    </w:p>
    <w:p w14:paraId="2F47FCB4">
      <w:pPr>
        <w:pStyle w:val="3"/>
      </w:pPr>
      <w:r>
        <w:t>7.1 Test Plan</w:t>
      </w:r>
    </w:p>
    <w:p w14:paraId="32A8988C">
      <w:r>
        <w:t>The system was evaluated end-to-end against three separate obligations, each with its own artifact:</w:t>
      </w:r>
    </w:p>
    <w:p w14:paraId="007E69B4">
      <w:pPr>
        <w:spacing w:after="240"/>
        <w:jc w:val="center"/>
      </w:pPr>
      <w:r>
        <w:rPr>
          <w:b/>
          <w:sz w:val="21"/>
        </w:rPr>
        <w:t>Table 7.1: Test Plan and Evidence Artifacts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8"/>
        <w:gridCol w:w="3131"/>
        <w:gridCol w:w="3403"/>
      </w:tblGrid>
      <w:tr w14:paraId="31BD87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2F5496"/>
          </w:tcPr>
          <w:p w14:paraId="11AA9921">
            <w:pPr>
              <w:spacing w:after="0" w:line="240" w:lineRule="auto"/>
            </w:pPr>
            <w:r>
              <w:rPr>
                <w:b/>
                <w:color w:val="FFFFFF"/>
              </w:rPr>
              <w:t>Obligation</w:t>
            </w:r>
          </w:p>
        </w:tc>
        <w:tc>
          <w:tcPr>
            <w:tcW w:w="3135" w:type="dxa"/>
            <w:shd w:val="clear" w:color="auto" w:fill="2F5496"/>
          </w:tcPr>
          <w:p w14:paraId="5B45B483">
            <w:pPr>
              <w:spacing w:after="0" w:line="240" w:lineRule="auto"/>
            </w:pPr>
            <w:r>
              <w:rPr>
                <w:b/>
                <w:color w:val="FFFFFF"/>
              </w:rPr>
              <w:t>How it was tested</w:t>
            </w:r>
          </w:p>
        </w:tc>
        <w:tc>
          <w:tcPr>
            <w:tcW w:w="3135" w:type="dxa"/>
            <w:shd w:val="clear" w:color="auto" w:fill="2F5496"/>
          </w:tcPr>
          <w:p w14:paraId="4CD80B6F">
            <w:pPr>
              <w:spacing w:after="0" w:line="240" w:lineRule="auto"/>
            </w:pPr>
            <w:r>
              <w:rPr>
                <w:b/>
                <w:color w:val="FFFFFF"/>
              </w:rPr>
              <w:t>Evidence artifact</w:t>
            </w:r>
          </w:p>
        </w:tc>
      </w:tr>
      <w:tr w14:paraId="37B474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81EEFAA">
            <w:pPr>
              <w:spacing w:after="0" w:line="240" w:lineRule="auto"/>
            </w:pPr>
            <w:r>
              <w:t>Stage 1 correctly separates healthy from every fault type</w:t>
            </w:r>
          </w:p>
        </w:tc>
        <w:tc>
          <w:tcPr>
            <w:tcW w:w="3135" w:type="dxa"/>
          </w:tcPr>
          <w:p w14:paraId="0D226EEA">
            <w:pPr>
              <w:spacing w:after="0" w:line="240" w:lineRule="auto"/>
            </w:pPr>
            <w:r>
              <w:t>Score all 239 fault windows and all 9 healthy windows against the Mahalanobis threshold</w:t>
            </w:r>
          </w:p>
        </w:tc>
        <w:tc>
          <w:tcPr>
            <w:tcW w:w="3135" w:type="dxa"/>
          </w:tcPr>
          <w:p w14:paraId="1C07AF64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two_stage_metrics.json</w:t>
            </w:r>
            <w:r>
              <w:t>, Fig. 8 (main report)</w:t>
            </w:r>
          </w:p>
        </w:tc>
      </w:tr>
      <w:tr w14:paraId="50DB69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D2BA35B">
            <w:pPr>
              <w:spacing w:after="0" w:line="240" w:lineRule="auto"/>
            </w:pPr>
            <w:r>
              <w:t>Stage 2 correctly names the fault among known classes</w:t>
            </w:r>
          </w:p>
        </w:tc>
        <w:tc>
          <w:tcPr>
            <w:tcW w:w="3135" w:type="dxa"/>
          </w:tcPr>
          <w:p w14:paraId="64F66993">
            <w:pPr>
              <w:spacing w:after="0" w:line="240" w:lineRule="auto"/>
            </w:pPr>
            <w:r>
              <w:t>Leave-one-run-out cross-validation over the 221 fault windows, 10 held-out folds</w:t>
            </w:r>
          </w:p>
        </w:tc>
        <w:tc>
          <w:tcPr>
            <w:tcW w:w="3135" w:type="dxa"/>
          </w:tcPr>
          <w:p w14:paraId="44BDA2B3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two_stage_model_comparison.csv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robustness_per_fold.csv</w:t>
            </w:r>
          </w:p>
        </w:tc>
      </w:tr>
      <w:tr w14:paraId="6F1424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F0CC7AB">
            <w:pPr>
              <w:spacing w:after="0" w:line="240" w:lineRule="auto"/>
            </w:pPr>
            <w:r>
              <w:t>The system safely refuses to guess on an untrained fault type</w:t>
            </w:r>
          </w:p>
        </w:tc>
        <w:tc>
          <w:tcPr>
            <w:tcW w:w="3135" w:type="dxa"/>
          </w:tcPr>
          <w:p w14:paraId="71A63059">
            <w:pPr>
              <w:spacing w:after="0" w:line="240" w:lineRule="auto"/>
            </w:pPr>
            <w:r>
              <w:t xml:space="preserve">Push the held-out </w:t>
            </w:r>
            <w:r>
              <w:rPr>
                <w:rFonts w:ascii="Consolas" w:hAnsi="Consolas"/>
                <w:sz w:val="19"/>
              </w:rPr>
              <w:t>FlexibleShaft (Mild)</w:t>
            </w:r>
            <w:r>
              <w:t xml:space="preserve"> run's 18 windows through the full frozen pipeline</w:t>
            </w:r>
          </w:p>
        </w:tc>
        <w:tc>
          <w:tcPr>
            <w:tcW w:w="3135" w:type="dxa"/>
          </w:tcPr>
          <w:p w14:paraId="5DE7C305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two_stage_metrics.json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gate_flex_rejected_as_unknown</w:t>
            </w:r>
            <w:r>
              <w:t>)</w:t>
            </w:r>
          </w:p>
        </w:tc>
      </w:tr>
      <w:tr w14:paraId="5CF670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8D2AD1B">
            <w:pPr>
              <w:spacing w:after="0" w:line="240" w:lineRule="auto"/>
            </w:pPr>
            <w:r>
              <w:t>The deployed dashboard reproduces the notebook result</w:t>
            </w:r>
          </w:p>
        </w:tc>
        <w:tc>
          <w:tcPr>
            <w:tcW w:w="3135" w:type="dxa"/>
          </w:tcPr>
          <w:p w14:paraId="0BB46FAC">
            <w:pPr>
              <w:spacing w:after="0" w:line="240" w:lineRule="auto"/>
            </w:pPr>
            <w:r>
              <w:t xml:space="preserve">Headless smoke test: 5 raw </w:t>
            </w:r>
            <w:r>
              <w:rPr>
                <w:rFonts w:ascii="Consolas" w:hAnsi="Consolas"/>
                <w:sz w:val="19"/>
              </w:rPr>
              <w:t>.xlsx</w:t>
            </w:r>
            <w:r>
              <w:t>/</w:t>
            </w:r>
            <w:r>
              <w:rPr>
                <w:rFonts w:ascii="Consolas" w:hAnsi="Consolas"/>
                <w:sz w:val="19"/>
              </w:rPr>
              <w:t>.csv</w:t>
            </w:r>
            <w:r>
              <w:t xml:space="preserve"> logs uploaded through </w:t>
            </w:r>
            <w:r>
              <w:rPr>
                <w:rFonts w:ascii="Consolas" w:hAnsi="Consolas"/>
                <w:sz w:val="19"/>
              </w:rPr>
              <w:t>07_streamlit_app.py</w:t>
            </w:r>
          </w:p>
        </w:tc>
        <w:tc>
          <w:tcPr>
            <w:tcW w:w="3135" w:type="dxa"/>
          </w:tcPr>
          <w:p w14:paraId="4490E059">
            <w:pPr>
              <w:spacing w:after="0" w:line="240" w:lineRule="auto"/>
            </w:pPr>
            <w:r>
              <w:t>5/5 correct verdicts, 100% window agreement per file (main report §11)</w:t>
            </w:r>
          </w:p>
        </w:tc>
      </w:tr>
      <w:tr w14:paraId="6B6570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117B0DE">
            <w:pPr>
              <w:spacing w:after="0" w:line="240" w:lineRule="auto"/>
            </w:pPr>
            <w:r>
              <w:t>Robustness of design choices (not just the headline number)</w:t>
            </w:r>
          </w:p>
        </w:tc>
        <w:tc>
          <w:tcPr>
            <w:tcW w:w="3135" w:type="dxa"/>
          </w:tcPr>
          <w:p w14:paraId="61366B03">
            <w:pPr>
              <w:spacing w:after="0" w:line="240" w:lineRule="auto"/>
            </w:pPr>
            <w:r>
              <w:t xml:space="preserve">Notebook </w:t>
            </w:r>
            <w:r>
              <w:rPr>
                <w:rFonts w:ascii="Consolas" w:hAnsi="Consolas"/>
                <w:sz w:val="19"/>
              </w:rPr>
              <w:t>08_robustness_checks.ipynb</w:t>
            </w:r>
            <w:r>
              <w:t>: per-fold breakdown, calibration check, gate ablation, Stage‑1 detector shootout</w:t>
            </w:r>
          </w:p>
        </w:tc>
        <w:tc>
          <w:tcPr>
            <w:tcW w:w="3135" w:type="dxa"/>
          </w:tcPr>
          <w:p w14:paraId="70D0941E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robustness_*</w:t>
            </w:r>
            <w:r>
              <w:t xml:space="preserve"> artifacts</w:t>
            </w:r>
          </w:p>
        </w:tc>
      </w:tr>
    </w:tbl>
    <w:p w14:paraId="7911BB3B"/>
    <w:p w14:paraId="67F9F19B">
      <w:pPr>
        <w:pStyle w:val="3"/>
      </w:pPr>
      <w:r>
        <w:t>7.2 Performance Metrics</w:t>
      </w:r>
    </w:p>
    <w:p w14:paraId="07CDA30F">
      <w:r>
        <w:t>The project reports (in preference order, matching a highly imbalanced 3‑class problem — 43 / 96 / 82 windows):</w:t>
      </w:r>
    </w:p>
    <w:p w14:paraId="3EA3E364">
      <w:pPr>
        <w:pStyle w:val="23"/>
      </w:pPr>
      <w:r>
        <w:rPr>
          <w:b/>
        </w:rPr>
        <w:t>Macro F1</w:t>
      </w:r>
      <w:r>
        <w:t xml:space="preserve"> — the primary model-selection metric; averages F1 equally</w:t>
      </w:r>
    </w:p>
    <w:p w14:paraId="032C9198">
      <w:r>
        <w:t>across classes so that the majority class (PumpDisplacement) cannot mask poor performance on a minority class.</w:t>
      </w:r>
    </w:p>
    <w:p w14:paraId="2A9DA297">
      <w:pPr>
        <w:pStyle w:val="23"/>
      </w:pPr>
      <w:r>
        <w:rPr>
          <w:b/>
        </w:rPr>
        <w:t>Accuracy</w:t>
      </w:r>
      <w:r>
        <w:t xml:space="preserve"> — reported alongside macro F1 for interpretability, but never</w:t>
      </w:r>
    </w:p>
    <w:p w14:paraId="385836D3">
      <w:r>
        <w:t>used alone to select a model.</w:t>
      </w:r>
    </w:p>
    <w:p w14:paraId="38A0C5E3">
      <w:pPr>
        <w:pStyle w:val="23"/>
      </w:pPr>
      <w:r>
        <w:rPr>
          <w:b/>
        </w:rPr>
        <w:t>Per-class precision / recall / F1 / support</w:t>
      </w:r>
      <w:r>
        <w:t xml:space="preserve"> — used to localise *where*</w:t>
      </w:r>
    </w:p>
    <w:p w14:paraId="17DA9DD6">
      <w:r>
        <w:t>error occurs, not just how much (Table 7.4).</w:t>
      </w:r>
    </w:p>
    <w:p w14:paraId="6AEDFB75">
      <w:pPr>
        <w:pStyle w:val="23"/>
      </w:pPr>
      <w:r>
        <w:rPr>
          <w:b/>
        </w:rPr>
        <w:t>Balanced accuracy / min-class recall</w:t>
      </w:r>
      <w:r>
        <w:t xml:space="preserve"> — used in the earlier</w:t>
      </w:r>
    </w:p>
    <w:p w14:paraId="2CB53697">
      <w:r>
        <w:t>flat-classifier league specifically to expose the guaranteed-zero-recall problem that motivated the two-stage redesign (§6.1).</w:t>
      </w:r>
    </w:p>
    <w:p w14:paraId="2F2DE49C">
      <w:pPr>
        <w:pStyle w:val="23"/>
      </w:pPr>
      <w:r>
        <w:rPr>
          <w:b/>
        </w:rPr>
        <w:t>Detection rate / false-alarm rate</w:t>
      </w:r>
      <w:r>
        <w:t xml:space="preserve"> — for Stage 1, a binary</w:t>
      </w:r>
    </w:p>
    <w:p w14:paraId="40E23467">
      <w:r>
        <w:t>healthy-vs-anomalous decision, reported as the fraction of fault windows exceeding the threshold and the fraction of healthy windows incorrectly exceeding it.</w:t>
      </w:r>
    </w:p>
    <w:p w14:paraId="60DFD4B8">
      <w:pPr>
        <w:pStyle w:val="23"/>
      </w:pPr>
      <w:r>
        <w:rPr>
          <w:b/>
        </w:rPr>
        <w:t>Gate pass rate / accuracy-on-passed / unseen-fault-rejected rate</w:t>
      </w:r>
      <w:r>
        <w:t xml:space="preserve"> — the</w:t>
      </w:r>
    </w:p>
    <w:p w14:paraId="1D4DAF11">
      <w:r>
        <w:t>three numbers that jointly characterise the confidence gate (§7.3).</w:t>
      </w:r>
    </w:p>
    <w:p w14:paraId="30CC8896">
      <w:pPr>
        <w:pStyle w:val="23"/>
      </w:pPr>
      <w:r>
        <w:rPr>
          <w:b/>
        </w:rPr>
        <w:t>Calibration gap</w:t>
      </w:r>
      <w:r>
        <w:t xml:space="preserve"> (predicted vs. observed reliability) — used in</w:t>
      </w:r>
    </w:p>
    <w:p w14:paraId="11182B12">
      <w:r>
        <w:t>robustness checks to test whether the ensemble's probabilities can be read literally (they cannot — see §7.6).</w:t>
      </w:r>
    </w:p>
    <w:p w14:paraId="708799B0">
      <w:pPr>
        <w:pStyle w:val="3"/>
      </w:pPr>
      <w:r>
        <w:t>7.3 Validation Strategy</w:t>
      </w:r>
    </w:p>
    <w:p w14:paraId="1E61CDD0">
      <w:r>
        <w:rPr>
          <w:b/>
        </w:rPr>
        <w:t>Leave-one-run-out cross-validation (LOGO)</w:t>
      </w:r>
      <w:r>
        <w:t xml:space="preserve">, implemented with </w:t>
      </w:r>
      <w:r>
        <w:rPr>
          <w:rFonts w:ascii="Consolas" w:hAnsi="Consolas"/>
          <w:sz w:val="19"/>
        </w:rPr>
        <w:t>sklearn.model_selection.LeaveOneGroupOut(groups=run_id)</w:t>
      </w:r>
      <w:r>
        <w:t>, is used for every number in the report — Stage 1, Stage 2, and the confidence gate alike.</w:t>
      </w:r>
    </w:p>
    <w:p w14:paraId="43635D68">
      <w:r>
        <w:rPr>
          <w:b/>
        </w:rPr>
        <w:t>Why:</w:t>
      </w:r>
      <w:r>
        <w:t xml:space="preserve"> windows from the same run are near-duplicates (50% overlap, same operating point, same solver noise seed). A random window-level train/test split would place siblings on both sides of the split and the model would score close to 99% by *recognising the run*, not the fault — a data-leakage artifact that would produce impressive but false numbers. LOGO guarantees every reported score is measured on a run the model never saw a single window of during training.</w:t>
      </w:r>
    </w:p>
    <w:p w14:paraId="7EC9E19F">
      <w:r>
        <w:rPr>
          <w:b/>
        </w:rPr>
        <w:t>Cost accepted:</w:t>
      </w:r>
      <w:r>
        <w:t xml:space="preserve"> LOGO yields fewer, harder test folds (10 folds for Stage 2, one per fault-bearing run) and therefore *lower but honest* numbers than a random split would report. This trade was made deliberately and is stated explicitly rather than hidden.</w:t>
      </w:r>
    </w:p>
    <w:p w14:paraId="448ED807">
      <w:r>
        <w:rPr>
          <w:b/>
        </w:rPr>
        <w:t>Two additional validation experiments</w:t>
      </w:r>
      <w:r>
        <w:t xml:space="preserve"> were layered on top of the LOGO folds because a single top-line score can hide where the risk actually lives:</w:t>
      </w:r>
    </w:p>
    <w:p w14:paraId="4BA523FA">
      <w:pPr>
        <w:pStyle w:val="29"/>
      </w:pPr>
      <w:r>
        <w:rPr>
          <w:b/>
        </w:rPr>
        <w:t>Gate ablation</w:t>
      </w:r>
      <w:r>
        <w:t xml:space="preserve"> (</w:t>
      </w:r>
      <w:r>
        <w:rPr>
          <w:rFonts w:ascii="Consolas" w:hAnsi="Consolas"/>
          <w:sz w:val="19"/>
        </w:rPr>
        <w:t>robustness_gate_analysis.csv</w:t>
      </w:r>
      <w:r>
        <w:t>) — the deployed 0.90</w:t>
      </w:r>
    </w:p>
    <w:p w14:paraId="1890BA0D">
      <w:r>
        <w:t>gate was compared against a statistically "natural" alternative (the 5th-percentile confidence of correct known-fault predictions = 0.701) on identical out-of-run predictions:</w:t>
      </w:r>
    </w:p>
    <w:p w14:paraId="360963DF">
      <w:pPr>
        <w:spacing w:after="240"/>
        <w:jc w:val="center"/>
      </w:pPr>
      <w:r>
        <w:rPr>
          <w:b/>
          <w:sz w:val="21"/>
        </w:rPr>
        <w:t>Table 7.2: Confidence Gate Comparison — Fixed vs. Percentile Threshold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221EDD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2F5496"/>
          </w:tcPr>
          <w:p w14:paraId="6B7A2FDB">
            <w:pPr>
              <w:spacing w:after="0" w:line="240" w:lineRule="auto"/>
            </w:pPr>
            <w:r>
              <w:rPr>
                <w:b/>
                <w:color w:val="FFFFFF"/>
              </w:rPr>
              <w:t>Gate</w:t>
            </w:r>
          </w:p>
        </w:tc>
        <w:tc>
          <w:tcPr>
            <w:tcW w:w="2351" w:type="dxa"/>
            <w:shd w:val="clear" w:color="auto" w:fill="2F5496"/>
          </w:tcPr>
          <w:p w14:paraId="59D1244A">
            <w:pPr>
              <w:spacing w:after="0" w:line="240" w:lineRule="auto"/>
            </w:pPr>
            <w:r>
              <w:rPr>
                <w:b/>
                <w:color w:val="FFFFFF"/>
              </w:rPr>
              <w:t>Known-fault pass rate</w:t>
            </w:r>
          </w:p>
        </w:tc>
        <w:tc>
          <w:tcPr>
            <w:tcW w:w="2351" w:type="dxa"/>
            <w:shd w:val="clear" w:color="auto" w:fill="2F5496"/>
          </w:tcPr>
          <w:p w14:paraId="795F6FE2">
            <w:pPr>
              <w:spacing w:after="0" w:line="240" w:lineRule="auto"/>
            </w:pPr>
            <w:r>
              <w:rPr>
                <w:b/>
                <w:color w:val="FFFFFF"/>
              </w:rPr>
              <w:t>Accuracy on passed windows</w:t>
            </w:r>
          </w:p>
        </w:tc>
        <w:tc>
          <w:tcPr>
            <w:tcW w:w="2351" w:type="dxa"/>
            <w:shd w:val="clear" w:color="auto" w:fill="2F5496"/>
          </w:tcPr>
          <w:p w14:paraId="4DF5BC62">
            <w:pPr>
              <w:spacing w:after="0" w:line="240" w:lineRule="auto"/>
            </w:pPr>
            <w:r>
              <w:rPr>
                <w:b/>
                <w:color w:val="FFFFFF"/>
              </w:rPr>
              <w:t>Unseen fault rejected</w:t>
            </w:r>
          </w:p>
        </w:tc>
      </w:tr>
      <w:tr w14:paraId="5C101D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06EDB5A">
            <w:pPr>
              <w:spacing w:after="0" w:line="240" w:lineRule="auto"/>
            </w:pPr>
            <w:r>
              <w:rPr>
                <w:b/>
              </w:rPr>
              <w:t>0.90 (deployed)</w:t>
            </w:r>
          </w:p>
        </w:tc>
        <w:tc>
          <w:tcPr>
            <w:tcW w:w="2351" w:type="dxa"/>
          </w:tcPr>
          <w:p w14:paraId="05DC82F9">
            <w:pPr>
              <w:spacing w:after="0" w:line="240" w:lineRule="auto"/>
            </w:pPr>
            <w:r>
              <w:t>78.7%</w:t>
            </w:r>
          </w:p>
        </w:tc>
        <w:tc>
          <w:tcPr>
            <w:tcW w:w="2351" w:type="dxa"/>
          </w:tcPr>
          <w:p w14:paraId="458D14F3">
            <w:pPr>
              <w:spacing w:after="0" w:line="240" w:lineRule="auto"/>
            </w:pPr>
            <w:r>
              <w:t>86.8%</w:t>
            </w:r>
          </w:p>
        </w:tc>
        <w:tc>
          <w:tcPr>
            <w:tcW w:w="2351" w:type="dxa"/>
          </w:tcPr>
          <w:p w14:paraId="3787A0C8">
            <w:pPr>
              <w:spacing w:after="0" w:line="240" w:lineRule="auto"/>
            </w:pPr>
            <w:r>
              <w:rPr>
                <w:b/>
              </w:rPr>
              <w:t>100%</w:t>
            </w:r>
          </w:p>
        </w:tc>
      </w:tr>
      <w:tr w14:paraId="380683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05BC11F">
            <w:pPr>
              <w:spacing w:after="0" w:line="240" w:lineRule="auto"/>
            </w:pPr>
            <w:r>
              <w:t>0.701 (5th-percentile)</w:t>
            </w:r>
          </w:p>
        </w:tc>
        <w:tc>
          <w:tcPr>
            <w:tcW w:w="2351" w:type="dxa"/>
          </w:tcPr>
          <w:p w14:paraId="18866CC0">
            <w:pPr>
              <w:spacing w:after="0" w:line="240" w:lineRule="auto"/>
            </w:pPr>
            <w:r>
              <w:t>95.0%</w:t>
            </w:r>
          </w:p>
        </w:tc>
        <w:tc>
          <w:tcPr>
            <w:tcW w:w="2351" w:type="dxa"/>
          </w:tcPr>
          <w:p w14:paraId="4B081F08">
            <w:pPr>
              <w:spacing w:after="0" w:line="240" w:lineRule="auto"/>
            </w:pPr>
            <w:r>
              <w:t>89.0%</w:t>
            </w:r>
          </w:p>
        </w:tc>
        <w:tc>
          <w:tcPr>
            <w:tcW w:w="2351" w:type="dxa"/>
          </w:tcPr>
          <w:p w14:paraId="4AE45F90">
            <w:pPr>
              <w:spacing w:after="0" w:line="240" w:lineRule="auto"/>
            </w:pPr>
            <w:r>
              <w:rPr>
                <w:b/>
              </w:rPr>
              <w:t>0%</w:t>
            </w:r>
          </w:p>
        </w:tc>
      </w:tr>
    </w:tbl>
    <w:p w14:paraId="5CFACEA5"/>
    <w:p w14:paraId="29ED62EC">
      <w:r>
        <w:t>The percentile gate keeps more known-fault windows but fails at the gate's actual purpose — every unseen-fault window (confidence 0.83–0.86) sails through it. 0.90 was retained on this measured evidence, not preference.</w:t>
      </w:r>
    </w:p>
    <w:p w14:paraId="6D861960">
      <w:pPr>
        <w:pStyle w:val="29"/>
      </w:pPr>
      <w:r>
        <w:rPr>
          <w:b/>
        </w:rPr>
        <w:t>Stage 1 detector shootout</w:t>
      </w:r>
      <w:r>
        <w:t xml:space="preserve"> (</w:t>
      </w:r>
      <w:r>
        <w:rPr>
          <w:rFonts w:ascii="Consolas" w:hAnsi="Consolas"/>
          <w:sz w:val="19"/>
        </w:rPr>
        <w:t>robustness_stage1_comparison.csv</w:t>
      </w:r>
      <w:r>
        <w:t>) — two</w:t>
      </w:r>
    </w:p>
    <w:p w14:paraId="2D7DE5B3">
      <w:r>
        <w:t>alternative one-class detectors were fit and thresholded identically to the deployed Mahalanobis approach and scored on the same 239 fault windows:</w:t>
      </w:r>
    </w:p>
    <w:p w14:paraId="4F60B4E2">
      <w:pPr>
        <w:spacing w:after="240"/>
        <w:jc w:val="center"/>
      </w:pPr>
      <w:r>
        <w:rPr>
          <w:b/>
          <w:sz w:val="21"/>
        </w:rPr>
        <w:t>Table 7.3: Stage 1 Detector Comparison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F4113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2F5496"/>
          </w:tcPr>
          <w:p w14:paraId="1F9A0438">
            <w:pPr>
              <w:spacing w:after="0" w:line="240" w:lineRule="auto"/>
            </w:pPr>
            <w:r>
              <w:rPr>
                <w:b/>
                <w:color w:val="FFFFFF"/>
              </w:rPr>
              <w:t>Detector</w:t>
            </w:r>
          </w:p>
        </w:tc>
        <w:tc>
          <w:tcPr>
            <w:tcW w:w="2351" w:type="dxa"/>
            <w:shd w:val="clear" w:color="auto" w:fill="2F5496"/>
          </w:tcPr>
          <w:p w14:paraId="0A422F6C">
            <w:pPr>
              <w:spacing w:after="0" w:line="240" w:lineRule="auto"/>
            </w:pPr>
            <w:r>
              <w:rPr>
                <w:b/>
                <w:color w:val="FFFFFF"/>
              </w:rPr>
              <w:t>Fault detection</w:t>
            </w:r>
          </w:p>
        </w:tc>
        <w:tc>
          <w:tcPr>
            <w:tcW w:w="2351" w:type="dxa"/>
            <w:shd w:val="clear" w:color="auto" w:fill="2F5496"/>
          </w:tcPr>
          <w:p w14:paraId="5FC94C9B">
            <w:pPr>
              <w:spacing w:after="0" w:line="240" w:lineRule="auto"/>
            </w:pPr>
            <w:r>
              <w:rPr>
                <w:b/>
                <w:color w:val="FFFFFF"/>
              </w:rPr>
              <w:t>Healthy false alarm</w:t>
            </w:r>
          </w:p>
        </w:tc>
        <w:tc>
          <w:tcPr>
            <w:tcW w:w="2351" w:type="dxa"/>
            <w:shd w:val="clear" w:color="auto" w:fill="2F5496"/>
          </w:tcPr>
          <w:p w14:paraId="026CB829">
            <w:pPr>
              <w:spacing w:after="0" w:line="240" w:lineRule="auto"/>
            </w:pPr>
            <w:r>
              <w:rPr>
                <w:b/>
                <w:color w:val="FFFFFF"/>
              </w:rPr>
              <w:t>Separation margin</w:t>
            </w:r>
          </w:p>
        </w:tc>
      </w:tr>
      <w:tr w14:paraId="33DF14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117332E">
            <w:pPr>
              <w:spacing w:after="0" w:line="240" w:lineRule="auto"/>
            </w:pPr>
            <w:r>
              <w:rPr>
                <w:b/>
              </w:rPr>
              <w:t>Mahalanobis (deployed)</w:t>
            </w:r>
          </w:p>
        </w:tc>
        <w:tc>
          <w:tcPr>
            <w:tcW w:w="2351" w:type="dxa"/>
          </w:tcPr>
          <w:p w14:paraId="4CA63E6C">
            <w:pPr>
              <w:spacing w:after="0" w:line="240" w:lineRule="auto"/>
            </w:pPr>
            <w:r>
              <w:rPr>
                <w:b/>
              </w:rPr>
              <w:t>100%</w:t>
            </w:r>
          </w:p>
        </w:tc>
        <w:tc>
          <w:tcPr>
            <w:tcW w:w="2351" w:type="dxa"/>
          </w:tcPr>
          <w:p w14:paraId="09451BE2">
            <w:pPr>
              <w:spacing w:after="0" w:line="240" w:lineRule="auto"/>
            </w:pPr>
            <w:r>
              <w:t>0%</w:t>
            </w:r>
          </w:p>
        </w:tc>
        <w:tc>
          <w:tcPr>
            <w:tcW w:w="2351" w:type="dxa"/>
          </w:tcPr>
          <w:p w14:paraId="37AB25A4">
            <w:pPr>
              <w:spacing w:after="0" w:line="240" w:lineRule="auto"/>
            </w:pPr>
            <w:r>
              <w:t>≈1,303,934</w:t>
            </w:r>
          </w:p>
        </w:tc>
      </w:tr>
      <w:tr w14:paraId="56847C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3BBE77F">
            <w:pPr>
              <w:spacing w:after="0" w:line="240" w:lineRule="auto"/>
            </w:pPr>
            <w:r>
              <w:t>One-Class SVM (RBF)</w:t>
            </w:r>
          </w:p>
        </w:tc>
        <w:tc>
          <w:tcPr>
            <w:tcW w:w="2351" w:type="dxa"/>
          </w:tcPr>
          <w:p w14:paraId="19396C6C">
            <w:pPr>
              <w:spacing w:after="0" w:line="240" w:lineRule="auto"/>
            </w:pPr>
            <w:r>
              <w:t>100%</w:t>
            </w:r>
          </w:p>
        </w:tc>
        <w:tc>
          <w:tcPr>
            <w:tcW w:w="2351" w:type="dxa"/>
          </w:tcPr>
          <w:p w14:paraId="2746AE54">
            <w:pPr>
              <w:spacing w:after="0" w:line="240" w:lineRule="auto"/>
            </w:pPr>
            <w:r>
              <w:t>0%</w:t>
            </w:r>
          </w:p>
        </w:tc>
        <w:tc>
          <w:tcPr>
            <w:tcW w:w="2351" w:type="dxa"/>
          </w:tcPr>
          <w:p w14:paraId="79D2512D">
            <w:pPr>
              <w:spacing w:after="0" w:line="240" w:lineRule="auto"/>
            </w:pPr>
            <w:r>
              <w:t>907</w:t>
            </w:r>
          </w:p>
        </w:tc>
      </w:tr>
      <w:tr w14:paraId="2B4711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31F030D">
            <w:pPr>
              <w:spacing w:after="0" w:line="240" w:lineRule="auto"/>
            </w:pPr>
            <w:r>
              <w:t>IsolationForest</w:t>
            </w:r>
          </w:p>
        </w:tc>
        <w:tc>
          <w:tcPr>
            <w:tcW w:w="2351" w:type="dxa"/>
          </w:tcPr>
          <w:p w14:paraId="61264608">
            <w:pPr>
              <w:spacing w:after="0" w:line="240" w:lineRule="auto"/>
            </w:pPr>
            <w:r>
              <w:rPr>
                <w:b/>
              </w:rPr>
              <w:t>0%</w:t>
            </w:r>
          </w:p>
        </w:tc>
        <w:tc>
          <w:tcPr>
            <w:tcW w:w="2351" w:type="dxa"/>
          </w:tcPr>
          <w:p w14:paraId="1EF9B462">
            <w:pPr>
              <w:spacing w:after="0" w:line="240" w:lineRule="auto"/>
            </w:pPr>
            <w:r>
              <w:t>0%</w:t>
            </w:r>
          </w:p>
        </w:tc>
        <w:tc>
          <w:tcPr>
            <w:tcW w:w="2351" w:type="dxa"/>
          </w:tcPr>
          <w:p w14:paraId="0D98E231">
            <w:pPr>
              <w:spacing w:after="0" w:line="240" w:lineRule="auto"/>
            </w:pPr>
            <w:r>
              <w:t>1.06</w:t>
            </w:r>
          </w:p>
        </w:tc>
      </w:tr>
    </w:tbl>
    <w:p w14:paraId="043D0077"/>
    <w:p w14:paraId="682A7395">
      <w:r>
        <w:t>IsolationForest fails outright with only 9 training samples (its trees are too shallow to separate the score range); One-Class SVM detects everything but with a margin roughly 1,400× thinner than Mahalanobis — a small drift in healthy behaviour could push healthy windows across its boundary. Mahalanobis was selected by measurement.</w:t>
      </w:r>
    </w:p>
    <w:p w14:paraId="5D4A0AE9">
      <w:pPr>
        <w:jc w:val="center"/>
      </w:pPr>
      <w:r>
        <w:drawing>
          <wp:inline distT="0" distB="0" distL="114300" distR="114300">
            <wp:extent cx="5303520" cy="26619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6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BF94">
      <w:pPr>
        <w:spacing w:after="240"/>
        <w:jc w:val="center"/>
      </w:pPr>
      <w:r>
        <w:rPr>
          <w:b/>
          <w:sz w:val="21"/>
        </w:rPr>
        <w:t>Figure 7.1: Confidence Gate — Known-Fault vs. Unseen-Fault Confidence Distribution</w:t>
      </w:r>
    </w:p>
    <w:p w14:paraId="40493B64">
      <w:pPr>
        <w:pStyle w:val="3"/>
      </w:pPr>
      <w:r>
        <w:t>7.4 Confusion Matrix Analysis</w:t>
      </w:r>
    </w:p>
    <w:p w14:paraId="3CFEC176">
      <w:pPr>
        <w:spacing w:after="240"/>
        <w:jc w:val="center"/>
      </w:pPr>
      <w:r>
        <w:rPr>
          <w:b/>
          <w:sz w:val="21"/>
        </w:rPr>
        <w:t>Table 7.4: Per-Class Results — Deployed Voting Ensemble (Leave-One-Run-Out)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10ED51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2F5496"/>
          </w:tcPr>
          <w:p w14:paraId="51B29D9D">
            <w:pPr>
              <w:spacing w:after="0" w:line="240" w:lineRule="auto"/>
            </w:pPr>
            <w:r>
              <w:rPr>
                <w:b/>
                <w:color w:val="FFFFFF"/>
              </w:rPr>
              <w:t>Class</w:t>
            </w:r>
          </w:p>
        </w:tc>
        <w:tc>
          <w:tcPr>
            <w:tcW w:w="1881" w:type="dxa"/>
            <w:shd w:val="clear" w:color="auto" w:fill="2F5496"/>
          </w:tcPr>
          <w:p w14:paraId="062552CD">
            <w:pPr>
              <w:spacing w:after="0" w:line="240" w:lineRule="auto"/>
            </w:pPr>
            <w:r>
              <w:rPr>
                <w:b/>
                <w:color w:val="FFFFFF"/>
              </w:rPr>
              <w:t>Precision</w:t>
            </w:r>
          </w:p>
        </w:tc>
        <w:tc>
          <w:tcPr>
            <w:tcW w:w="1881" w:type="dxa"/>
            <w:shd w:val="clear" w:color="auto" w:fill="2F5496"/>
          </w:tcPr>
          <w:p w14:paraId="52448F64">
            <w:pPr>
              <w:spacing w:after="0" w:line="240" w:lineRule="auto"/>
            </w:pPr>
            <w:r>
              <w:rPr>
                <w:b/>
                <w:color w:val="FFFFFF"/>
              </w:rPr>
              <w:t>Recall</w:t>
            </w:r>
          </w:p>
        </w:tc>
        <w:tc>
          <w:tcPr>
            <w:tcW w:w="1881" w:type="dxa"/>
            <w:shd w:val="clear" w:color="auto" w:fill="2F5496"/>
          </w:tcPr>
          <w:p w14:paraId="6CACE92A">
            <w:pPr>
              <w:spacing w:after="0" w:line="240" w:lineRule="auto"/>
            </w:pPr>
            <w:r>
              <w:rPr>
                <w:b/>
                <w:color w:val="FFFFFF"/>
              </w:rPr>
              <w:t>F1</w:t>
            </w:r>
          </w:p>
        </w:tc>
        <w:tc>
          <w:tcPr>
            <w:tcW w:w="1881" w:type="dxa"/>
            <w:shd w:val="clear" w:color="auto" w:fill="2F5496"/>
          </w:tcPr>
          <w:p w14:paraId="1A8C01C9">
            <w:pPr>
              <w:spacing w:after="0" w:line="240" w:lineRule="auto"/>
            </w:pPr>
            <w:r>
              <w:rPr>
                <w:b/>
                <w:color w:val="FFFFFF"/>
              </w:rPr>
              <w:t>Support</w:t>
            </w:r>
          </w:p>
        </w:tc>
      </w:tr>
      <w:tr w14:paraId="5E5896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4A8E06E1">
            <w:pPr>
              <w:spacing w:after="0" w:line="240" w:lineRule="auto"/>
            </w:pPr>
            <w:r>
              <w:t>Leakage</w:t>
            </w:r>
          </w:p>
        </w:tc>
        <w:tc>
          <w:tcPr>
            <w:tcW w:w="1881" w:type="dxa"/>
          </w:tcPr>
          <w:p w14:paraId="07021DC3">
            <w:pPr>
              <w:spacing w:after="0" w:line="240" w:lineRule="auto"/>
            </w:pPr>
            <w:r>
              <w:t>1.000</w:t>
            </w:r>
          </w:p>
        </w:tc>
        <w:tc>
          <w:tcPr>
            <w:tcW w:w="1881" w:type="dxa"/>
          </w:tcPr>
          <w:p w14:paraId="3A3A4B90">
            <w:pPr>
              <w:spacing w:after="0" w:line="240" w:lineRule="auto"/>
            </w:pPr>
            <w:r>
              <w:t>1.000</w:t>
            </w:r>
          </w:p>
        </w:tc>
        <w:tc>
          <w:tcPr>
            <w:tcW w:w="1881" w:type="dxa"/>
          </w:tcPr>
          <w:p w14:paraId="3ED819AD">
            <w:pPr>
              <w:spacing w:after="0" w:line="240" w:lineRule="auto"/>
            </w:pPr>
            <w:r>
              <w:t>1.000</w:t>
            </w:r>
          </w:p>
        </w:tc>
        <w:tc>
          <w:tcPr>
            <w:tcW w:w="1881" w:type="dxa"/>
          </w:tcPr>
          <w:p w14:paraId="57ED172B">
            <w:pPr>
              <w:spacing w:after="0" w:line="240" w:lineRule="auto"/>
            </w:pPr>
            <w:r>
              <w:t>43</w:t>
            </w:r>
          </w:p>
        </w:tc>
      </w:tr>
      <w:tr w14:paraId="0508F4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46717C07">
            <w:pPr>
              <w:spacing w:after="0" w:line="240" w:lineRule="auto"/>
            </w:pPr>
            <w:r>
              <w:t>PumpDisplacement</w:t>
            </w:r>
          </w:p>
        </w:tc>
        <w:tc>
          <w:tcPr>
            <w:tcW w:w="1881" w:type="dxa"/>
          </w:tcPr>
          <w:p w14:paraId="2514F1EA">
            <w:pPr>
              <w:spacing w:after="0" w:line="240" w:lineRule="auto"/>
            </w:pPr>
            <w:r>
              <w:t>0.800</w:t>
            </w:r>
          </w:p>
        </w:tc>
        <w:tc>
          <w:tcPr>
            <w:tcW w:w="1881" w:type="dxa"/>
          </w:tcPr>
          <w:p w14:paraId="2B492D58">
            <w:pPr>
              <w:spacing w:after="0" w:line="240" w:lineRule="auto"/>
            </w:pPr>
            <w:r>
              <w:t>1.000</w:t>
            </w:r>
          </w:p>
        </w:tc>
        <w:tc>
          <w:tcPr>
            <w:tcW w:w="1881" w:type="dxa"/>
          </w:tcPr>
          <w:p w14:paraId="3DD3D2A7">
            <w:pPr>
              <w:spacing w:after="0" w:line="240" w:lineRule="auto"/>
            </w:pPr>
            <w:r>
              <w:t>0.889</w:t>
            </w:r>
          </w:p>
        </w:tc>
        <w:tc>
          <w:tcPr>
            <w:tcW w:w="1881" w:type="dxa"/>
          </w:tcPr>
          <w:p w14:paraId="6014F67A">
            <w:pPr>
              <w:spacing w:after="0" w:line="240" w:lineRule="auto"/>
            </w:pPr>
            <w:r>
              <w:t>96</w:t>
            </w:r>
          </w:p>
        </w:tc>
      </w:tr>
      <w:tr w14:paraId="51E6C5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2418FC84">
            <w:pPr>
              <w:spacing w:after="0" w:line="240" w:lineRule="auto"/>
            </w:pPr>
            <w:r>
              <w:t>GeneratorFault</w:t>
            </w:r>
          </w:p>
        </w:tc>
        <w:tc>
          <w:tcPr>
            <w:tcW w:w="1881" w:type="dxa"/>
          </w:tcPr>
          <w:p w14:paraId="1CF73495">
            <w:pPr>
              <w:spacing w:after="0" w:line="240" w:lineRule="auto"/>
            </w:pPr>
            <w:r>
              <w:t>1.000</w:t>
            </w:r>
          </w:p>
        </w:tc>
        <w:tc>
          <w:tcPr>
            <w:tcW w:w="1881" w:type="dxa"/>
          </w:tcPr>
          <w:p w14:paraId="5C45F9D6">
            <w:pPr>
              <w:spacing w:after="0" w:line="240" w:lineRule="auto"/>
            </w:pPr>
            <w:r>
              <w:t>0.707</w:t>
            </w:r>
          </w:p>
        </w:tc>
        <w:tc>
          <w:tcPr>
            <w:tcW w:w="1881" w:type="dxa"/>
          </w:tcPr>
          <w:p w14:paraId="0BD4EAAA">
            <w:pPr>
              <w:spacing w:after="0" w:line="240" w:lineRule="auto"/>
            </w:pPr>
            <w:r>
              <w:t>0.829</w:t>
            </w:r>
          </w:p>
        </w:tc>
        <w:tc>
          <w:tcPr>
            <w:tcW w:w="1881" w:type="dxa"/>
          </w:tcPr>
          <w:p w14:paraId="28D28D85">
            <w:pPr>
              <w:spacing w:after="0" w:line="240" w:lineRule="auto"/>
            </w:pPr>
            <w:r>
              <w:t>82</w:t>
            </w:r>
          </w:p>
        </w:tc>
      </w:tr>
      <w:tr w14:paraId="4F38D9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7A1F2136">
            <w:pPr>
              <w:spacing w:after="0" w:line="240" w:lineRule="auto"/>
            </w:pPr>
            <w:r>
              <w:rPr>
                <w:b/>
              </w:rPr>
              <w:t>Overall</w:t>
            </w:r>
          </w:p>
        </w:tc>
        <w:tc>
          <w:tcPr>
            <w:tcW w:w="1881" w:type="dxa"/>
          </w:tcPr>
          <w:p w14:paraId="3B4BAB94">
            <w:pPr>
              <w:spacing w:after="0" w:line="240" w:lineRule="auto"/>
            </w:pPr>
          </w:p>
        </w:tc>
        <w:tc>
          <w:tcPr>
            <w:tcW w:w="1881" w:type="dxa"/>
          </w:tcPr>
          <w:p w14:paraId="10B6B5B6">
            <w:pPr>
              <w:spacing w:after="0" w:line="240" w:lineRule="auto"/>
            </w:pPr>
            <w:r>
              <w:rPr>
                <w:b/>
              </w:rPr>
              <w:t>0.891 (accuracy)</w:t>
            </w:r>
          </w:p>
        </w:tc>
        <w:tc>
          <w:tcPr>
            <w:tcW w:w="1881" w:type="dxa"/>
          </w:tcPr>
          <w:p w14:paraId="3CDCC2A5">
            <w:pPr>
              <w:spacing w:after="0" w:line="240" w:lineRule="auto"/>
            </w:pPr>
            <w:r>
              <w:rPr>
                <w:b/>
              </w:rPr>
              <w:t>0.906 (macro F1)</w:t>
            </w:r>
          </w:p>
        </w:tc>
        <w:tc>
          <w:tcPr>
            <w:tcW w:w="1881" w:type="dxa"/>
          </w:tcPr>
          <w:p w14:paraId="566F2F39">
            <w:pPr>
              <w:spacing w:after="0" w:line="240" w:lineRule="auto"/>
            </w:pPr>
            <w:r>
              <w:t>221</w:t>
            </w:r>
          </w:p>
        </w:tc>
      </w:tr>
    </w:tbl>
    <w:p w14:paraId="084064A8"/>
    <w:p w14:paraId="68CEAC0D">
      <w:pPr>
        <w:jc w:val="center"/>
      </w:pPr>
      <w:r>
        <w:drawing>
          <wp:inline distT="0" distB="0" distL="114300" distR="114300">
            <wp:extent cx="5303520" cy="377190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7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6BBB">
      <w:pPr>
        <w:spacing w:after="240"/>
        <w:jc w:val="center"/>
      </w:pPr>
      <w:r>
        <w:rPr>
          <w:b/>
          <w:sz w:val="21"/>
        </w:rPr>
        <w:t>Figure 7.2: Confusion Matrix — Deployed Voting Ensemble (Leave-One-Run-Out)</w:t>
      </w:r>
    </w:p>
    <w:p w14:paraId="286F10C6">
      <w:r>
        <w:t>The confusion matrix (</w:t>
      </w:r>
      <w:r>
        <w:rPr>
          <w:rFonts w:ascii="Consolas" w:hAnsi="Consolas"/>
          <w:sz w:val="19"/>
        </w:rPr>
        <w:t>docs/report_figures/fig4_confusion_matrix.png</w:t>
      </w:r>
      <w:r>
        <w:t xml:space="preserve">) shows the entire off-diagonal error is one-directional: </w:t>
      </w:r>
      <w:r>
        <w:rPr>
          <w:b/>
        </w:rPr>
        <w:t>GeneratorFault windows are misread as PumpDisplacement</w:t>
      </w:r>
      <w:r>
        <w:t>, never the reverse, and Leakage has zero confusion with either other class. Because PumpDisplacement's recall is a perfect 1.000, its precision (0.800) absorbs 100% of the misrouted GeneratorFault windows — GeneratorFault's precision, correspondingly, stays at a perfect 1.000 (no false generator alarms are ever raised; the model only ever under-calls generator faults, never over-calls them).</w:t>
      </w:r>
    </w:p>
    <w:p w14:paraId="24A77621">
      <w:pPr>
        <w:pStyle w:val="3"/>
      </w:pPr>
      <w:r>
        <w:t>7.5 Comparative Performance Analysis</w:t>
      </w:r>
    </w:p>
    <w:p w14:paraId="52A5DB6D">
      <w:r>
        <w:t xml:space="preserve">Restating Table 6.2 from the validation angle: the voting ensemble is not just the top score, it is the </w:t>
      </w:r>
      <w:r>
        <w:rPr>
          <w:b/>
        </w:rPr>
        <w:t>only configuration that beats every one of its own members</w:t>
      </w:r>
      <w:r>
        <w:t xml:space="preserve"> — evidence that the ensemble's diversity, not any single strong model, drives the final result.</w:t>
      </w:r>
    </w:p>
    <w:p w14:paraId="5596F90B">
      <w:pPr>
        <w:spacing w:after="240"/>
        <w:jc w:val="center"/>
      </w:pPr>
      <w:r>
        <w:rPr>
          <w:b/>
          <w:sz w:val="21"/>
        </w:rPr>
        <w:t>Table 7.5: Comparative Model Performance (Δ vs. Ensemble)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3C14B8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2F5496"/>
          </w:tcPr>
          <w:p w14:paraId="6CE9ACE6">
            <w:pPr>
              <w:spacing w:after="0" w:line="240" w:lineRule="auto"/>
            </w:pPr>
            <w:r>
              <w:rPr>
                <w:b/>
                <w:color w:val="FFFFFF"/>
              </w:rPr>
              <w:t>Model</w:t>
            </w:r>
          </w:p>
        </w:tc>
        <w:tc>
          <w:tcPr>
            <w:tcW w:w="3135" w:type="dxa"/>
            <w:shd w:val="clear" w:color="auto" w:fill="2F5496"/>
          </w:tcPr>
          <w:p w14:paraId="4E99A74F">
            <w:pPr>
              <w:spacing w:after="0" w:line="240" w:lineRule="auto"/>
            </w:pPr>
            <w:r>
              <w:rPr>
                <w:b/>
                <w:color w:val="FFFFFF"/>
              </w:rPr>
              <w:t>Macro F1</w:t>
            </w:r>
          </w:p>
        </w:tc>
        <w:tc>
          <w:tcPr>
            <w:tcW w:w="3135" w:type="dxa"/>
            <w:shd w:val="clear" w:color="auto" w:fill="2F5496"/>
          </w:tcPr>
          <w:p w14:paraId="6F97087D">
            <w:pPr>
              <w:spacing w:after="0" w:line="240" w:lineRule="auto"/>
            </w:pPr>
            <w:r>
              <w:rPr>
                <w:b/>
                <w:color w:val="FFFFFF"/>
              </w:rPr>
              <w:t>Δ vs. ensemble</w:t>
            </w:r>
          </w:p>
        </w:tc>
      </w:tr>
      <w:tr w14:paraId="5DE251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E48A706">
            <w:pPr>
              <w:spacing w:after="0" w:line="240" w:lineRule="auto"/>
            </w:pPr>
            <w:r>
              <w:rPr>
                <w:b/>
              </w:rPr>
              <w:t>Vote (ET+LGBM+CatBoost)</w:t>
            </w:r>
          </w:p>
        </w:tc>
        <w:tc>
          <w:tcPr>
            <w:tcW w:w="3135" w:type="dxa"/>
          </w:tcPr>
          <w:p w14:paraId="46F23BDA">
            <w:pPr>
              <w:spacing w:after="0" w:line="240" w:lineRule="auto"/>
            </w:pPr>
            <w:r>
              <w:rPr>
                <w:b/>
              </w:rPr>
              <w:t>0.906</w:t>
            </w:r>
          </w:p>
        </w:tc>
        <w:tc>
          <w:tcPr>
            <w:tcW w:w="3135" w:type="dxa"/>
          </w:tcPr>
          <w:p w14:paraId="1D04D8E0">
            <w:pPr>
              <w:spacing w:after="0" w:line="240" w:lineRule="auto"/>
            </w:pPr>
            <w:r>
              <w:t>—</w:t>
            </w:r>
          </w:p>
        </w:tc>
      </w:tr>
      <w:tr w14:paraId="2ED89B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F6AB369">
            <w:pPr>
              <w:spacing w:after="0" w:line="240" w:lineRule="auto"/>
            </w:pPr>
            <w:r>
              <w:t>HistGradientBoosting</w:t>
            </w:r>
          </w:p>
        </w:tc>
        <w:tc>
          <w:tcPr>
            <w:tcW w:w="3135" w:type="dxa"/>
          </w:tcPr>
          <w:p w14:paraId="5F54B115">
            <w:pPr>
              <w:spacing w:after="0" w:line="240" w:lineRule="auto"/>
            </w:pPr>
            <w:r>
              <w:t>0.902</w:t>
            </w:r>
          </w:p>
        </w:tc>
        <w:tc>
          <w:tcPr>
            <w:tcW w:w="3135" w:type="dxa"/>
          </w:tcPr>
          <w:p w14:paraId="6763B963">
            <w:pPr>
              <w:spacing w:after="0" w:line="240" w:lineRule="auto"/>
            </w:pPr>
            <w:r>
              <w:t>−0.004</w:t>
            </w:r>
          </w:p>
        </w:tc>
      </w:tr>
      <w:tr w14:paraId="252133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98E1924">
            <w:pPr>
              <w:spacing w:after="0" w:line="240" w:lineRule="auto"/>
            </w:pPr>
            <w:r>
              <w:t>Random Forest</w:t>
            </w:r>
          </w:p>
        </w:tc>
        <w:tc>
          <w:tcPr>
            <w:tcW w:w="3135" w:type="dxa"/>
          </w:tcPr>
          <w:p w14:paraId="3E6067D0">
            <w:pPr>
              <w:spacing w:after="0" w:line="240" w:lineRule="auto"/>
            </w:pPr>
            <w:r>
              <w:t>0.897</w:t>
            </w:r>
          </w:p>
        </w:tc>
        <w:tc>
          <w:tcPr>
            <w:tcW w:w="3135" w:type="dxa"/>
          </w:tcPr>
          <w:p w14:paraId="6EF81EE9">
            <w:pPr>
              <w:spacing w:after="0" w:line="240" w:lineRule="auto"/>
            </w:pPr>
            <w:r>
              <w:t>−0.009</w:t>
            </w:r>
          </w:p>
        </w:tc>
      </w:tr>
      <w:tr w14:paraId="617116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85CBBE5">
            <w:pPr>
              <w:spacing w:after="0" w:line="240" w:lineRule="auto"/>
            </w:pPr>
            <w:r>
              <w:t>LightGBM</w:t>
            </w:r>
          </w:p>
        </w:tc>
        <w:tc>
          <w:tcPr>
            <w:tcW w:w="3135" w:type="dxa"/>
          </w:tcPr>
          <w:p w14:paraId="2277C07E">
            <w:pPr>
              <w:spacing w:after="0" w:line="240" w:lineRule="auto"/>
            </w:pPr>
            <w:r>
              <w:t>0.887</w:t>
            </w:r>
          </w:p>
        </w:tc>
        <w:tc>
          <w:tcPr>
            <w:tcW w:w="3135" w:type="dxa"/>
          </w:tcPr>
          <w:p w14:paraId="2AC0BE64">
            <w:pPr>
              <w:spacing w:after="0" w:line="240" w:lineRule="auto"/>
            </w:pPr>
            <w:r>
              <w:t>−0.019</w:t>
            </w:r>
          </w:p>
        </w:tc>
      </w:tr>
      <w:tr w14:paraId="60F4C5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5767B3D">
            <w:pPr>
              <w:spacing w:after="0" w:line="240" w:lineRule="auto"/>
            </w:pPr>
            <w:r>
              <w:t>Logistic Regression</w:t>
            </w:r>
          </w:p>
        </w:tc>
        <w:tc>
          <w:tcPr>
            <w:tcW w:w="3135" w:type="dxa"/>
          </w:tcPr>
          <w:p w14:paraId="01E1CE80">
            <w:pPr>
              <w:spacing w:after="0" w:line="240" w:lineRule="auto"/>
            </w:pPr>
            <w:r>
              <w:t>0.872</w:t>
            </w:r>
          </w:p>
        </w:tc>
        <w:tc>
          <w:tcPr>
            <w:tcW w:w="3135" w:type="dxa"/>
          </w:tcPr>
          <w:p w14:paraId="7FF1C494">
            <w:pPr>
              <w:spacing w:after="0" w:line="240" w:lineRule="auto"/>
            </w:pPr>
            <w:r>
              <w:t>−0.034</w:t>
            </w:r>
          </w:p>
        </w:tc>
      </w:tr>
      <w:tr w14:paraId="145072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0FB17FF">
            <w:pPr>
              <w:spacing w:after="0" w:line="240" w:lineRule="auto"/>
            </w:pPr>
            <w:r>
              <w:t>Extra Trees</w:t>
            </w:r>
          </w:p>
        </w:tc>
        <w:tc>
          <w:tcPr>
            <w:tcW w:w="3135" w:type="dxa"/>
          </w:tcPr>
          <w:p w14:paraId="1475C26D">
            <w:pPr>
              <w:spacing w:after="0" w:line="240" w:lineRule="auto"/>
            </w:pPr>
            <w:r>
              <w:t>0.820</w:t>
            </w:r>
          </w:p>
        </w:tc>
        <w:tc>
          <w:tcPr>
            <w:tcW w:w="3135" w:type="dxa"/>
          </w:tcPr>
          <w:p w14:paraId="63828D6A">
            <w:pPr>
              <w:spacing w:after="0" w:line="240" w:lineRule="auto"/>
            </w:pPr>
            <w:r>
              <w:t>−0.086</w:t>
            </w:r>
          </w:p>
        </w:tc>
      </w:tr>
      <w:tr w14:paraId="3F905C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87D66B7">
            <w:pPr>
              <w:spacing w:after="0" w:line="240" w:lineRule="auto"/>
            </w:pPr>
            <w:r>
              <w:t>SVM (RBF)</w:t>
            </w:r>
          </w:p>
        </w:tc>
        <w:tc>
          <w:tcPr>
            <w:tcW w:w="3135" w:type="dxa"/>
          </w:tcPr>
          <w:p w14:paraId="543B2EAA">
            <w:pPr>
              <w:spacing w:after="0" w:line="240" w:lineRule="auto"/>
            </w:pPr>
            <w:r>
              <w:t>0.798</w:t>
            </w:r>
          </w:p>
        </w:tc>
        <w:tc>
          <w:tcPr>
            <w:tcW w:w="3135" w:type="dxa"/>
          </w:tcPr>
          <w:p w14:paraId="3CEC3F11">
            <w:pPr>
              <w:spacing w:after="0" w:line="240" w:lineRule="auto"/>
            </w:pPr>
            <w:r>
              <w:t>−0.108</w:t>
            </w:r>
          </w:p>
        </w:tc>
      </w:tr>
    </w:tbl>
    <w:p w14:paraId="1B3C7746"/>
    <w:p w14:paraId="1B4C1DDD">
      <w:r>
        <w:t>Two comparative findings stand out:</w:t>
      </w:r>
    </w:p>
    <w:p w14:paraId="2B5FE611">
      <w:pPr>
        <w:pStyle w:val="23"/>
      </w:pPr>
      <w:r>
        <w:rPr>
          <w:b/>
        </w:rPr>
        <w:t>Logistic Regression at 0.872</w:t>
      </w:r>
      <w:r>
        <w:t xml:space="preserve"> is close to the top tree ensembles despite</w:t>
      </w:r>
    </w:p>
    <w:p w14:paraId="2980911B">
      <w:r>
        <w:t>having no ability to model feature interactions — strong evidence that the 51 engineered features (Chapter 5.4), not model complexity, do most of the discriminative work.</w:t>
      </w:r>
    </w:p>
    <w:p w14:paraId="1C335A6C">
      <w:pPr>
        <w:pStyle w:val="23"/>
      </w:pPr>
      <w:r>
        <w:t>**Extra Trees standalone (0.820) vs. Extra Trees inside the ensemble</w:t>
      </w:r>
    </w:p>
    <w:p w14:paraId="7336779E">
      <w:r>
        <w:t>(contributes to 0.906)** — the same base learner is markedly stronger as part of a diversified vote than alone, because its errors (from random split selection) are largely uncorrelated with LightGBM's and CatBoost's errors.</w:t>
      </w:r>
    </w:p>
    <w:p w14:paraId="161005BD">
      <w:r>
        <w:t xml:space="preserve">Against the </w:t>
      </w:r>
      <w:r>
        <w:rPr>
          <w:b/>
        </w:rPr>
        <w:t>earlier flat 5-class baseline</w:t>
      </w:r>
      <w:r>
        <w:t xml:space="preserve"> (macro F1 0.494, accuracy 68.5%, </w:t>
      </w:r>
      <w:r>
        <w:rPr>
          <w:rFonts w:ascii="Consolas" w:hAnsi="Consolas"/>
          <w:sz w:val="19"/>
        </w:rPr>
        <w:t>model_comparison.csv</w:t>
      </w:r>
      <w:r>
        <w:t xml:space="preserve">), the adopted two-stage system is a </w:t>
      </w:r>
      <w:r>
        <w:rPr>
          <w:b/>
        </w:rPr>
        <w:t>+0.412 macro F1 / +20.6 point accuracy</w:t>
      </w:r>
      <w:r>
        <w:t xml:space="preserve"> improvement — attributable roughly 75% to removing the two structurally unlearnable classes from supervised training and 25% to the ensemble upgrade (§6.1).</w:t>
      </w:r>
    </w:p>
    <w:p w14:paraId="20CF68CE">
      <w:pPr>
        <w:pStyle w:val="3"/>
      </w:pPr>
      <w:r>
        <w:t>7.6 Error Analysis</w:t>
      </w:r>
    </w:p>
    <w:p w14:paraId="2972293C">
      <w:r>
        <w:rPr>
          <w:b/>
        </w:rPr>
        <w:t>Per-run breakdown</w:t>
      </w:r>
      <w:r>
        <w:t xml:space="preserve"> (</w:t>
      </w:r>
      <w:r>
        <w:rPr>
          <w:rFonts w:ascii="Consolas" w:hAnsi="Consolas"/>
          <w:sz w:val="19"/>
        </w:rPr>
        <w:t>artifacts/robustness_per_fold.csv</w:t>
      </w:r>
      <w:r>
        <w:t>) is the diagnostic step that explains *where* the 10.9% aggregate error actually lives — aggregate scores alone would hide this:</w:t>
      </w:r>
    </w:p>
    <w:p w14:paraId="4ADD2D66">
      <w:pPr>
        <w:spacing w:after="240"/>
        <w:jc w:val="center"/>
      </w:pPr>
      <w:r>
        <w:rPr>
          <w:b/>
          <w:sz w:val="21"/>
        </w:rPr>
        <w:t>Table 7.6: Per-Run Diagnostic Breakdown (Leave-One-Run-Out)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4"/>
        <w:gridCol w:w="2351"/>
        <w:gridCol w:w="2351"/>
        <w:gridCol w:w="2351"/>
      </w:tblGrid>
      <w:tr w14:paraId="3B32EF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2F5496"/>
          </w:tcPr>
          <w:p w14:paraId="1B902E24">
            <w:pPr>
              <w:spacing w:after="0" w:line="240" w:lineRule="auto"/>
            </w:pPr>
            <w:r>
              <w:rPr>
                <w:b/>
                <w:color w:val="FFFFFF"/>
              </w:rPr>
              <w:t>Held-out run</w:t>
            </w:r>
          </w:p>
        </w:tc>
        <w:tc>
          <w:tcPr>
            <w:tcW w:w="2351" w:type="dxa"/>
            <w:shd w:val="clear" w:color="auto" w:fill="2F5496"/>
          </w:tcPr>
          <w:p w14:paraId="504C456A">
            <w:pPr>
              <w:spacing w:after="0" w:line="240" w:lineRule="auto"/>
            </w:pPr>
            <w:r>
              <w:rPr>
                <w:b/>
                <w:color w:val="FFFFFF"/>
              </w:rPr>
              <w:t>True class</w:t>
            </w:r>
          </w:p>
        </w:tc>
        <w:tc>
          <w:tcPr>
            <w:tcW w:w="2351" w:type="dxa"/>
            <w:shd w:val="clear" w:color="auto" w:fill="2F5496"/>
          </w:tcPr>
          <w:p w14:paraId="75EEDEA1">
            <w:pPr>
              <w:spacing w:after="0" w:line="240" w:lineRule="auto"/>
            </w:pPr>
            <w:r>
              <w:rPr>
                <w:b/>
                <w:color w:val="FFFFFF"/>
              </w:rPr>
              <w:t>Correct / Total</w:t>
            </w:r>
          </w:p>
        </w:tc>
        <w:tc>
          <w:tcPr>
            <w:tcW w:w="2351" w:type="dxa"/>
            <w:shd w:val="clear" w:color="auto" w:fill="2F5496"/>
          </w:tcPr>
          <w:p w14:paraId="7E1A157F">
            <w:pPr>
              <w:spacing w:after="0" w:line="240" w:lineRule="auto"/>
            </w:pPr>
            <w:r>
              <w:rPr>
                <w:b/>
                <w:color w:val="FFFFFF"/>
              </w:rPr>
              <w:t>Run accuracy</w:t>
            </w:r>
          </w:p>
        </w:tc>
      </w:tr>
      <w:tr w14:paraId="6809FF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52346A9">
            <w:pPr>
              <w:spacing w:after="0" w:line="240" w:lineRule="auto"/>
            </w:pPr>
            <w:r>
              <w:t>disp1_fault(0.5)</w:t>
            </w:r>
          </w:p>
        </w:tc>
        <w:tc>
          <w:tcPr>
            <w:tcW w:w="2351" w:type="dxa"/>
          </w:tcPr>
          <w:p w14:paraId="59F8F8A8">
            <w:pPr>
              <w:spacing w:after="0" w:line="240" w:lineRule="auto"/>
            </w:pPr>
            <w:r>
              <w:t>PumpDisplacement</w:t>
            </w:r>
          </w:p>
        </w:tc>
        <w:tc>
          <w:tcPr>
            <w:tcW w:w="2351" w:type="dxa"/>
          </w:tcPr>
          <w:p w14:paraId="69008324">
            <w:pPr>
              <w:spacing w:after="0" w:line="240" w:lineRule="auto"/>
            </w:pPr>
            <w:r>
              <w:t>19/19</w:t>
            </w:r>
          </w:p>
        </w:tc>
        <w:tc>
          <w:tcPr>
            <w:tcW w:w="2351" w:type="dxa"/>
          </w:tcPr>
          <w:p w14:paraId="0F16407B">
            <w:pPr>
              <w:spacing w:after="0" w:line="240" w:lineRule="auto"/>
            </w:pPr>
            <w:r>
              <w:t>100%</w:t>
            </w:r>
          </w:p>
        </w:tc>
      </w:tr>
      <w:tr w14:paraId="6E89E4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C593C8F">
            <w:pPr>
              <w:spacing w:after="0" w:line="240" w:lineRule="auto"/>
            </w:pPr>
            <w:r>
              <w:t>disp2_fault(0.3)</w:t>
            </w:r>
          </w:p>
        </w:tc>
        <w:tc>
          <w:tcPr>
            <w:tcW w:w="2351" w:type="dxa"/>
          </w:tcPr>
          <w:p w14:paraId="374A3600">
            <w:pPr>
              <w:spacing w:after="0" w:line="240" w:lineRule="auto"/>
            </w:pPr>
            <w:r>
              <w:t>PumpDisplacement</w:t>
            </w:r>
          </w:p>
        </w:tc>
        <w:tc>
          <w:tcPr>
            <w:tcW w:w="2351" w:type="dxa"/>
          </w:tcPr>
          <w:p w14:paraId="441D3483">
            <w:pPr>
              <w:spacing w:after="0" w:line="240" w:lineRule="auto"/>
            </w:pPr>
            <w:r>
              <w:t>19/19</w:t>
            </w:r>
          </w:p>
        </w:tc>
        <w:tc>
          <w:tcPr>
            <w:tcW w:w="2351" w:type="dxa"/>
          </w:tcPr>
          <w:p w14:paraId="29EB23A7">
            <w:pPr>
              <w:spacing w:after="0" w:line="240" w:lineRule="auto"/>
            </w:pPr>
            <w:r>
              <w:t>100%</w:t>
            </w:r>
          </w:p>
        </w:tc>
      </w:tr>
      <w:tr w14:paraId="3EB927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447F1BC">
            <w:pPr>
              <w:spacing w:after="0" w:line="240" w:lineRule="auto"/>
            </w:pPr>
            <w:r>
              <w:t>disp3_fault(0.2)</w:t>
            </w:r>
          </w:p>
        </w:tc>
        <w:tc>
          <w:tcPr>
            <w:tcW w:w="2351" w:type="dxa"/>
          </w:tcPr>
          <w:p w14:paraId="0A76C12D">
            <w:pPr>
              <w:spacing w:after="0" w:line="240" w:lineRule="auto"/>
            </w:pPr>
            <w:r>
              <w:t>PumpDisplacement</w:t>
            </w:r>
          </w:p>
        </w:tc>
        <w:tc>
          <w:tcPr>
            <w:tcW w:w="2351" w:type="dxa"/>
          </w:tcPr>
          <w:p w14:paraId="61EA8358">
            <w:pPr>
              <w:spacing w:after="0" w:line="240" w:lineRule="auto"/>
            </w:pPr>
            <w:r>
              <w:t>19/19</w:t>
            </w:r>
          </w:p>
        </w:tc>
        <w:tc>
          <w:tcPr>
            <w:tcW w:w="2351" w:type="dxa"/>
          </w:tcPr>
          <w:p w14:paraId="038F2F94">
            <w:pPr>
              <w:spacing w:after="0" w:line="240" w:lineRule="auto"/>
            </w:pPr>
            <w:r>
              <w:t>100%</w:t>
            </w:r>
          </w:p>
        </w:tc>
      </w:tr>
      <w:tr w14:paraId="36AFE1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84FDBBC">
            <w:pPr>
              <w:spacing w:after="0" w:line="240" w:lineRule="auto"/>
            </w:pPr>
            <w:r>
              <w:t>pump_disp(st-0.5)</w:t>
            </w:r>
          </w:p>
        </w:tc>
        <w:tc>
          <w:tcPr>
            <w:tcW w:w="2351" w:type="dxa"/>
          </w:tcPr>
          <w:p w14:paraId="781597E4">
            <w:pPr>
              <w:spacing w:after="0" w:line="240" w:lineRule="auto"/>
            </w:pPr>
            <w:r>
              <w:t>PumpDisplacement</w:t>
            </w:r>
          </w:p>
        </w:tc>
        <w:tc>
          <w:tcPr>
            <w:tcW w:w="2351" w:type="dxa"/>
          </w:tcPr>
          <w:p w14:paraId="26EC0F37">
            <w:pPr>
              <w:spacing w:after="0" w:line="240" w:lineRule="auto"/>
            </w:pPr>
            <w:r>
              <w:t>39/39</w:t>
            </w:r>
          </w:p>
        </w:tc>
        <w:tc>
          <w:tcPr>
            <w:tcW w:w="2351" w:type="dxa"/>
          </w:tcPr>
          <w:p w14:paraId="01D75F6D">
            <w:pPr>
              <w:spacing w:after="0" w:line="240" w:lineRule="auto"/>
            </w:pPr>
            <w:r>
              <w:t>100%</w:t>
            </w:r>
          </w:p>
        </w:tc>
      </w:tr>
      <w:tr w14:paraId="70E5E5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62D2FA1">
            <w:pPr>
              <w:spacing w:after="0" w:line="240" w:lineRule="auto"/>
            </w:pPr>
            <w:r>
              <w:t>Leakage_factor</w:t>
            </w:r>
          </w:p>
        </w:tc>
        <w:tc>
          <w:tcPr>
            <w:tcW w:w="2351" w:type="dxa"/>
          </w:tcPr>
          <w:p w14:paraId="4C91EEB3">
            <w:pPr>
              <w:spacing w:after="0" w:line="240" w:lineRule="auto"/>
            </w:pPr>
            <w:r>
              <w:t>Leakage</w:t>
            </w:r>
          </w:p>
        </w:tc>
        <w:tc>
          <w:tcPr>
            <w:tcW w:w="2351" w:type="dxa"/>
          </w:tcPr>
          <w:p w14:paraId="2D159F7D">
            <w:pPr>
              <w:spacing w:after="0" w:line="240" w:lineRule="auto"/>
            </w:pPr>
            <w:r>
              <w:t>9/9</w:t>
            </w:r>
          </w:p>
        </w:tc>
        <w:tc>
          <w:tcPr>
            <w:tcW w:w="2351" w:type="dxa"/>
          </w:tcPr>
          <w:p w14:paraId="52A84C20">
            <w:pPr>
              <w:spacing w:after="0" w:line="240" w:lineRule="auto"/>
            </w:pPr>
            <w:r>
              <w:t>100%</w:t>
            </w:r>
          </w:p>
        </w:tc>
      </w:tr>
      <w:tr w14:paraId="6BBF7F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CD6B431">
            <w:pPr>
              <w:spacing w:after="0" w:line="240" w:lineRule="auto"/>
            </w:pPr>
            <w:r>
              <w:t>leakage_fault(0.5)</w:t>
            </w:r>
          </w:p>
        </w:tc>
        <w:tc>
          <w:tcPr>
            <w:tcW w:w="2351" w:type="dxa"/>
          </w:tcPr>
          <w:p w14:paraId="340D2F3E">
            <w:pPr>
              <w:spacing w:after="0" w:line="240" w:lineRule="auto"/>
            </w:pPr>
            <w:r>
              <w:t>Leakage</w:t>
            </w:r>
          </w:p>
        </w:tc>
        <w:tc>
          <w:tcPr>
            <w:tcW w:w="2351" w:type="dxa"/>
          </w:tcPr>
          <w:p w14:paraId="65178966">
            <w:pPr>
              <w:spacing w:after="0" w:line="240" w:lineRule="auto"/>
            </w:pPr>
            <w:r>
              <w:t>17/17</w:t>
            </w:r>
          </w:p>
        </w:tc>
        <w:tc>
          <w:tcPr>
            <w:tcW w:w="2351" w:type="dxa"/>
          </w:tcPr>
          <w:p w14:paraId="16D5C1C0">
            <w:pPr>
              <w:spacing w:after="0" w:line="240" w:lineRule="auto"/>
            </w:pPr>
            <w:r>
              <w:t>100%</w:t>
            </w:r>
          </w:p>
        </w:tc>
      </w:tr>
      <w:tr w14:paraId="4B79C7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BBA6F02">
            <w:pPr>
              <w:spacing w:after="0" w:line="240" w:lineRule="auto"/>
            </w:pPr>
            <w:r>
              <w:t>leakage_fault(1.0)</w:t>
            </w:r>
          </w:p>
        </w:tc>
        <w:tc>
          <w:tcPr>
            <w:tcW w:w="2351" w:type="dxa"/>
          </w:tcPr>
          <w:p w14:paraId="4A07277C">
            <w:pPr>
              <w:spacing w:after="0" w:line="240" w:lineRule="auto"/>
            </w:pPr>
            <w:r>
              <w:t>Leakage</w:t>
            </w:r>
          </w:p>
        </w:tc>
        <w:tc>
          <w:tcPr>
            <w:tcW w:w="2351" w:type="dxa"/>
          </w:tcPr>
          <w:p w14:paraId="7E033A11">
            <w:pPr>
              <w:spacing w:after="0" w:line="240" w:lineRule="auto"/>
            </w:pPr>
            <w:r>
              <w:t>17/17</w:t>
            </w:r>
          </w:p>
        </w:tc>
        <w:tc>
          <w:tcPr>
            <w:tcW w:w="2351" w:type="dxa"/>
          </w:tcPr>
          <w:p w14:paraId="6A3E991C">
            <w:pPr>
              <w:spacing w:after="0" w:line="240" w:lineRule="auto"/>
            </w:pPr>
            <w:r>
              <w:t>100%</w:t>
            </w:r>
          </w:p>
        </w:tc>
      </w:tr>
      <w:tr w14:paraId="68977F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A640EF9">
            <w:pPr>
              <w:spacing w:after="0" w:line="240" w:lineRule="auto"/>
            </w:pPr>
            <w:r>
              <w:t>simplifiied-generator-fault</w:t>
            </w:r>
          </w:p>
        </w:tc>
        <w:tc>
          <w:tcPr>
            <w:tcW w:w="2351" w:type="dxa"/>
          </w:tcPr>
          <w:p w14:paraId="3FBC9C5C">
            <w:pPr>
              <w:spacing w:after="0" w:line="240" w:lineRule="auto"/>
            </w:pPr>
            <w:r>
              <w:t>GeneratorFault</w:t>
            </w:r>
          </w:p>
        </w:tc>
        <w:tc>
          <w:tcPr>
            <w:tcW w:w="2351" w:type="dxa"/>
          </w:tcPr>
          <w:p w14:paraId="08061442">
            <w:pPr>
              <w:spacing w:after="0" w:line="240" w:lineRule="auto"/>
            </w:pPr>
            <w:r>
              <w:t>19/19</w:t>
            </w:r>
          </w:p>
        </w:tc>
        <w:tc>
          <w:tcPr>
            <w:tcW w:w="2351" w:type="dxa"/>
          </w:tcPr>
          <w:p w14:paraId="5A108F34">
            <w:pPr>
              <w:spacing w:after="0" w:line="240" w:lineRule="auto"/>
            </w:pPr>
            <w:r>
              <w:t>100%</w:t>
            </w:r>
          </w:p>
        </w:tc>
      </w:tr>
      <w:tr w14:paraId="7D1DF4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30DBE53">
            <w:pPr>
              <w:spacing w:after="0" w:line="240" w:lineRule="auto"/>
            </w:pPr>
            <w:r>
              <w:t>simplifiied-generator-fault(st-0.5)</w:t>
            </w:r>
          </w:p>
        </w:tc>
        <w:tc>
          <w:tcPr>
            <w:tcW w:w="2351" w:type="dxa"/>
          </w:tcPr>
          <w:p w14:paraId="229D2E76">
            <w:pPr>
              <w:spacing w:after="0" w:line="240" w:lineRule="auto"/>
            </w:pPr>
            <w:r>
              <w:t>GeneratorFault</w:t>
            </w:r>
          </w:p>
        </w:tc>
        <w:tc>
          <w:tcPr>
            <w:tcW w:w="2351" w:type="dxa"/>
          </w:tcPr>
          <w:p w14:paraId="74CF3042">
            <w:pPr>
              <w:spacing w:after="0" w:line="240" w:lineRule="auto"/>
            </w:pPr>
            <w:r>
              <w:t>39/39</w:t>
            </w:r>
          </w:p>
        </w:tc>
        <w:tc>
          <w:tcPr>
            <w:tcW w:w="2351" w:type="dxa"/>
          </w:tcPr>
          <w:p w14:paraId="41F457E3">
            <w:pPr>
              <w:spacing w:after="0" w:line="240" w:lineRule="auto"/>
            </w:pPr>
            <w:r>
              <w:t>100%</w:t>
            </w:r>
          </w:p>
        </w:tc>
      </w:tr>
      <w:tr w14:paraId="25C2A0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6309A8D">
            <w:pPr>
              <w:spacing w:after="0" w:line="240" w:lineRule="auto"/>
            </w:pPr>
            <w:r>
              <w:rPr>
                <w:b/>
              </w:rPr>
              <w:t>simplified_generator_fault</w:t>
            </w:r>
          </w:p>
        </w:tc>
        <w:tc>
          <w:tcPr>
            <w:tcW w:w="2351" w:type="dxa"/>
          </w:tcPr>
          <w:p w14:paraId="2D92687C">
            <w:pPr>
              <w:spacing w:after="0" w:line="240" w:lineRule="auto"/>
            </w:pPr>
            <w:r>
              <w:t>GeneratorFault</w:t>
            </w:r>
          </w:p>
        </w:tc>
        <w:tc>
          <w:tcPr>
            <w:tcW w:w="2351" w:type="dxa"/>
          </w:tcPr>
          <w:p w14:paraId="1E2257F6">
            <w:pPr>
              <w:spacing w:after="0" w:line="240" w:lineRule="auto"/>
            </w:pPr>
            <w:r>
              <w:rPr>
                <w:b/>
              </w:rPr>
              <w:t>0/24</w:t>
            </w:r>
          </w:p>
        </w:tc>
        <w:tc>
          <w:tcPr>
            <w:tcW w:w="2351" w:type="dxa"/>
          </w:tcPr>
          <w:p w14:paraId="7A37FB3A">
            <w:pPr>
              <w:spacing w:after="0" w:line="240" w:lineRule="auto"/>
            </w:pPr>
            <w:r>
              <w:rPr>
                <w:b/>
              </w:rPr>
              <w:t>0%</w:t>
            </w:r>
          </w:p>
        </w:tc>
      </w:tr>
    </w:tbl>
    <w:p w14:paraId="69B9B60B"/>
    <w:p w14:paraId="1689EC08">
      <w:r>
        <w:rPr>
          <w:b/>
        </w:rPr>
        <w:t>Nine of ten held-out runs are diagnosed perfectly.</w:t>
      </w:r>
      <w:r>
        <w:t xml:space="preserve"> The entirety of the system's residual error is concentrated in a single run, </w:t>
      </w:r>
      <w:r>
        <w:rPr>
          <w:rFonts w:ascii="Consolas" w:hAnsi="Consolas"/>
          <w:sz w:val="19"/>
        </w:rPr>
        <w:t>simplified_generator_fault</w:t>
      </w:r>
      <w:r>
        <w:t>, whose 24 windows are unanimously misclassified as PumpDisplacement. Root-cause analysis (</w:t>
      </w:r>
      <w:r>
        <w:rPr>
          <w:rFonts w:ascii="Consolas" w:hAnsi="Consolas"/>
          <w:sz w:val="19"/>
        </w:rPr>
        <w:t>open-issues.md</w:t>
      </w:r>
      <w:r>
        <w:t>) traced this to a data-collection defect, not a modelling one: this run sits at a standardized centroid distance of 6.4–6.7 from its two sibling generator runs (which are only 0.8 apart from each other) — a genuinely different Simulink electrical operating point, not sensor noise. The correct restated headline is therefore: *perfect diagnosis on 9 of 10 independent fault-bearing runs, with one run affected by a known, explainable export-settings inconsistency* — the fix is re-exporting that one run at the shared operating point, not retraining or re-tuning any model.</w:t>
      </w:r>
    </w:p>
    <w:p w14:paraId="28DC08F9">
      <w:r>
        <w:t xml:space="preserve">A second, related error mode was checked and ruled out as a modelling concern: the </w:t>
      </w:r>
      <w:r>
        <w:rPr>
          <w:b/>
        </w:rPr>
        <w:t>FlexibleShaft</w:t>
      </w:r>
      <w:r>
        <w:t xml:space="preserve"> class was never made a supervised class precisely because its two available runs (</w:t>
      </w:r>
      <w:r>
        <w:rPr>
          <w:rFonts w:ascii="Consolas" w:hAnsi="Consolas"/>
          <w:sz w:val="19"/>
        </w:rPr>
        <w:t>Mild</w:t>
      </w:r>
      <w:r>
        <w:t xml:space="preserve">, </w:t>
      </w:r>
      <w:r>
        <w:rPr>
          <w:rFonts w:ascii="Consolas" w:hAnsi="Consolas"/>
          <w:sz w:val="19"/>
        </w:rPr>
        <w:t>Medium</w:t>
      </w:r>
      <w:r>
        <w:t>) do not resemble each other (standardized centroid distance 5.3, vs. ~2.3–3.9 to *other* classes' territory) — each flex run sits inside a *different* other class's feature-space region, traced to different electrical operating points (Mild vdc max 142.8 V matches the leakage sims' setpoint; Medium 182.2 V matches the pump sims'). Treating this as a "modelling error" to be fixed by a better classifier would be incorrect; it is a data-collection gap, and the project response — the confidence gate routing all such windows to "Unknown fault" — is the correct mitigation given the data available (§7.3).</w:t>
      </w:r>
    </w:p>
    <w:p w14:paraId="52C07E25">
      <w:r>
        <w:rPr>
          <w:b/>
        </w:rPr>
        <w:t>Calibration check</w:t>
      </w:r>
      <w:r>
        <w:t xml:space="preserve"> (</w:t>
      </w:r>
      <w:r>
        <w:rPr>
          <w:rFonts w:ascii="Consolas" w:hAnsi="Consolas"/>
          <w:sz w:val="19"/>
        </w:rPr>
        <w:t>artifacts/robustness_calibration.png</w:t>
      </w:r>
      <w:r>
        <w:t xml:space="preserve">, </w:t>
      </w:r>
      <w:r>
        <w:rPr>
          <w:rFonts w:ascii="Consolas" w:hAnsi="Consolas"/>
          <w:sz w:val="19"/>
        </w:rPr>
        <w:t>robustness_summary.txt</w:t>
      </w:r>
      <w:r>
        <w:t>):</w:t>
      </w:r>
    </w:p>
    <w:p w14:paraId="73FE3FA7">
      <w:pPr>
        <w:jc w:val="center"/>
      </w:pPr>
      <w:r>
        <w:drawing>
          <wp:inline distT="0" distB="0" distL="114300" distR="114300">
            <wp:extent cx="5303520" cy="3856990"/>
            <wp:effectExtent l="0" t="0" r="0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5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6C3F">
      <w:pPr>
        <w:spacing w:after="240"/>
        <w:jc w:val="center"/>
      </w:pPr>
      <w:r>
        <w:rPr>
          <w:b/>
          <w:sz w:val="21"/>
        </w:rPr>
        <w:t>Figure 7.3: Reliability (Calibration) Curve — Out-of-Run Predicted Probabilities</w:t>
      </w:r>
    </w:p>
    <w:p w14:paraId="5057A3C8">
      <w:r>
        <w:t xml:space="preserve">A reliability check of the out-of-run predicted probabilities shows the ensemble is </w:t>
      </w:r>
      <w:r>
        <w:rPr>
          <w:b/>
        </w:rPr>
        <w:t>overconfident</w:t>
      </w:r>
      <w:r>
        <w:t xml:space="preserve"> in its top confidence bin (predicted ≈0.99 vs. observed ≈0.85 accuracy; max predicted-vs-observed gap = 0.260, against a 0.15 tolerance) — and this overconfidence traces to the same divergent </w:t>
      </w:r>
      <w:r>
        <w:rPr>
          <w:rFonts w:ascii="Consolas" w:hAnsi="Consolas"/>
          <w:sz w:val="19"/>
        </w:rPr>
        <w:t>simplified_generator_fault</w:t>
      </w:r>
      <w:r>
        <w:t xml:space="preserve"> run. Consequently, the 0.90 gate is treated throughout as an </w:t>
      </w:r>
      <w:r>
        <w:rPr>
          <w:b/>
        </w:rPr>
        <w:t>empirically validated decision threshold</w:t>
      </w:r>
      <w:r>
        <w:t xml:space="preserve"> (chosen by the ablation in §7.3), not a literal probability statement — a displayed "confidence 0.95" should be read as a ranking signal, not as "95% chance of being correct."</w:t>
      </w:r>
    </w:p>
    <w:p w14:paraId="6FE52F10">
      <w:pPr>
        <w:pStyle w:val="3"/>
      </w:pPr>
      <w:r>
        <w:t>7.7 Validation Report</w:t>
      </w:r>
    </w:p>
    <w:p w14:paraId="581F1D84">
      <w:pPr>
        <w:spacing w:after="240"/>
        <w:jc w:val="center"/>
      </w:pPr>
      <w:r>
        <w:rPr>
          <w:b/>
          <w:sz w:val="21"/>
        </w:rPr>
        <w:t>Table 7.7: End-to-End System Performance Summary (All Numbers Leakage-Free)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39B0A8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2F5496"/>
          </w:tcPr>
          <w:p w14:paraId="6F2A312D">
            <w:pPr>
              <w:spacing w:after="0" w:line="240" w:lineRule="auto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w="3135" w:type="dxa"/>
            <w:shd w:val="clear" w:color="auto" w:fill="2F5496"/>
          </w:tcPr>
          <w:p w14:paraId="0DFD3ECF">
            <w:pPr>
              <w:spacing w:after="0" w:line="240" w:lineRule="auto"/>
            </w:pPr>
            <w:r>
              <w:rPr>
                <w:b/>
                <w:color w:val="FFFFFF"/>
              </w:rPr>
              <w:t>Value</w:t>
            </w:r>
          </w:p>
        </w:tc>
        <w:tc>
          <w:tcPr>
            <w:tcW w:w="3135" w:type="dxa"/>
            <w:shd w:val="clear" w:color="auto" w:fill="2F5496"/>
          </w:tcPr>
          <w:p w14:paraId="2A42CC66">
            <w:pPr>
              <w:spacing w:after="0" w:line="240" w:lineRule="auto"/>
            </w:pPr>
            <w:r>
              <w:rPr>
                <w:b/>
                <w:color w:val="FFFFFF"/>
              </w:rPr>
              <w:t>Basis</w:t>
            </w:r>
          </w:p>
        </w:tc>
      </w:tr>
      <w:tr w14:paraId="59C4F6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C945E6D">
            <w:pPr>
              <w:spacing w:after="0" w:line="240" w:lineRule="auto"/>
            </w:pPr>
            <w:r>
              <w:t>Stage 1 fault detection rate</w:t>
            </w:r>
          </w:p>
        </w:tc>
        <w:tc>
          <w:tcPr>
            <w:tcW w:w="3135" w:type="dxa"/>
          </w:tcPr>
          <w:p w14:paraId="25844B7E">
            <w:pPr>
              <w:spacing w:after="0" w:line="240" w:lineRule="auto"/>
            </w:pPr>
            <w:r>
              <w:rPr>
                <w:b/>
              </w:rPr>
              <w:t>100%</w:t>
            </w:r>
            <w:r>
              <w:t xml:space="preserve"> (239/239 fault windows)</w:t>
            </w:r>
          </w:p>
        </w:tc>
        <w:tc>
          <w:tcPr>
            <w:tcW w:w="3135" w:type="dxa"/>
          </w:tcPr>
          <w:p w14:paraId="0CC8653C">
            <w:pPr>
              <w:spacing w:after="0" w:line="240" w:lineRule="auto"/>
            </w:pPr>
            <w:r>
              <w:t>in-run Mahalanobis threshold</w:t>
            </w:r>
          </w:p>
        </w:tc>
      </w:tr>
      <w:tr w14:paraId="4D38E2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2400A49">
            <w:pPr>
              <w:spacing w:after="0" w:line="240" w:lineRule="auto"/>
            </w:pPr>
            <w:r>
              <w:t>Stage 1 false-alarm rate (healthy windows)</w:t>
            </w:r>
          </w:p>
        </w:tc>
        <w:tc>
          <w:tcPr>
            <w:tcW w:w="3135" w:type="dxa"/>
          </w:tcPr>
          <w:p w14:paraId="497B7CAD">
            <w:pPr>
              <w:spacing w:after="0" w:line="240" w:lineRule="auto"/>
            </w:pPr>
            <w:r>
              <w:t>0%</w:t>
            </w:r>
          </w:p>
        </w:tc>
        <w:tc>
          <w:tcPr>
            <w:tcW w:w="3135" w:type="dxa"/>
          </w:tcPr>
          <w:p w14:paraId="68120A8C">
            <w:pPr>
              <w:spacing w:after="0" w:line="240" w:lineRule="auto"/>
            </w:pPr>
            <w:r>
              <w:t>same</w:t>
            </w:r>
          </w:p>
        </w:tc>
      </w:tr>
      <w:tr w14:paraId="5A4E70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0A02EAF">
            <w:pPr>
              <w:spacing w:after="0" w:line="240" w:lineRule="auto"/>
            </w:pPr>
            <w:r>
              <w:t>Stage 2 diagnosis accuracy</w:t>
            </w:r>
          </w:p>
        </w:tc>
        <w:tc>
          <w:tcPr>
            <w:tcW w:w="3135" w:type="dxa"/>
          </w:tcPr>
          <w:p w14:paraId="402C953D">
            <w:pPr>
              <w:spacing w:after="0" w:line="240" w:lineRule="auto"/>
            </w:pPr>
            <w:r>
              <w:rPr>
                <w:b/>
              </w:rPr>
              <w:t>89.1%</w:t>
            </w:r>
          </w:p>
        </w:tc>
        <w:tc>
          <w:tcPr>
            <w:tcW w:w="3135" w:type="dxa"/>
          </w:tcPr>
          <w:p w14:paraId="1777C586">
            <w:pPr>
              <w:spacing w:after="0" w:line="240" w:lineRule="auto"/>
            </w:pPr>
            <w:r>
              <w:t>LOGO, 221 windows, 10 folds</w:t>
            </w:r>
          </w:p>
        </w:tc>
      </w:tr>
      <w:tr w14:paraId="6A4F55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902765A">
            <w:pPr>
              <w:spacing w:after="0" w:line="240" w:lineRule="auto"/>
            </w:pPr>
            <w:r>
              <w:t>Stage 2 macro F1</w:t>
            </w:r>
          </w:p>
        </w:tc>
        <w:tc>
          <w:tcPr>
            <w:tcW w:w="3135" w:type="dxa"/>
          </w:tcPr>
          <w:p w14:paraId="097DC11E">
            <w:pPr>
              <w:spacing w:after="0" w:line="240" w:lineRule="auto"/>
            </w:pPr>
            <w:r>
              <w:rPr>
                <w:b/>
              </w:rPr>
              <w:t>0.906</w:t>
            </w:r>
          </w:p>
        </w:tc>
        <w:tc>
          <w:tcPr>
            <w:tcW w:w="3135" w:type="dxa"/>
          </w:tcPr>
          <w:p w14:paraId="188F6B7B">
            <w:pPr>
              <w:spacing w:after="0" w:line="240" w:lineRule="auto"/>
            </w:pPr>
            <w:r>
              <w:t>same</w:t>
            </w:r>
          </w:p>
        </w:tc>
      </w:tr>
      <w:tr w14:paraId="414AF9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689DBB2">
            <w:pPr>
              <w:spacing w:after="0" w:line="240" w:lineRule="auto"/>
            </w:pPr>
            <w:r>
              <w:t>Gate known-fault pass rate</w:t>
            </w:r>
          </w:p>
        </w:tc>
        <w:tc>
          <w:tcPr>
            <w:tcW w:w="3135" w:type="dxa"/>
          </w:tcPr>
          <w:p w14:paraId="6D394052">
            <w:pPr>
              <w:spacing w:after="0" w:line="240" w:lineRule="auto"/>
            </w:pPr>
            <w:r>
              <w:t>78.7%</w:t>
            </w:r>
          </w:p>
        </w:tc>
        <w:tc>
          <w:tcPr>
            <w:tcW w:w="3135" w:type="dxa"/>
          </w:tcPr>
          <w:p w14:paraId="67F60988">
            <w:pPr>
              <w:spacing w:after="0" w:line="240" w:lineRule="auto"/>
            </w:pPr>
            <w:r>
              <w:t>out-of-fold predictions</w:t>
            </w:r>
          </w:p>
        </w:tc>
      </w:tr>
      <w:tr w14:paraId="0B9B38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F936A3D">
            <w:pPr>
              <w:spacing w:after="0" w:line="240" w:lineRule="auto"/>
            </w:pPr>
            <w:r>
              <w:t>Gate accuracy on passed windows</w:t>
            </w:r>
          </w:p>
        </w:tc>
        <w:tc>
          <w:tcPr>
            <w:tcW w:w="3135" w:type="dxa"/>
          </w:tcPr>
          <w:p w14:paraId="42ED85B7">
            <w:pPr>
              <w:spacing w:after="0" w:line="240" w:lineRule="auto"/>
            </w:pPr>
            <w:r>
              <w:t>86.8%</w:t>
            </w:r>
          </w:p>
        </w:tc>
        <w:tc>
          <w:tcPr>
            <w:tcW w:w="3135" w:type="dxa"/>
          </w:tcPr>
          <w:p w14:paraId="2E1D6341">
            <w:pPr>
              <w:spacing w:after="0" w:line="240" w:lineRule="auto"/>
            </w:pPr>
            <w:r>
              <w:t>same</w:t>
            </w:r>
          </w:p>
        </w:tc>
      </w:tr>
      <w:tr w14:paraId="403CAE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8DF6858">
            <w:pPr>
              <w:spacing w:after="0" w:line="240" w:lineRule="auto"/>
            </w:pPr>
            <w:r>
              <w:t>Unseen fault type (FlexibleShaft) routed to "Unknown"</w:t>
            </w:r>
          </w:p>
        </w:tc>
        <w:tc>
          <w:tcPr>
            <w:tcW w:w="3135" w:type="dxa"/>
          </w:tcPr>
          <w:p w14:paraId="3C5E6931">
            <w:pPr>
              <w:spacing w:after="0" w:line="240" w:lineRule="auto"/>
            </w:pPr>
            <w:r>
              <w:rPr>
                <w:b/>
              </w:rPr>
              <w:t>100%</w:t>
            </w:r>
          </w:p>
        </w:tc>
        <w:tc>
          <w:tcPr>
            <w:tcW w:w="3135" w:type="dxa"/>
          </w:tcPr>
          <w:p w14:paraId="1534E028">
            <w:pPr>
              <w:spacing w:after="0" w:line="240" w:lineRule="auto"/>
            </w:pPr>
            <w:r>
              <w:t>18 held-out windows, never trained</w:t>
            </w:r>
          </w:p>
        </w:tc>
      </w:tr>
      <w:tr w14:paraId="0FB82B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BAE94FB">
            <w:pPr>
              <w:spacing w:after="0" w:line="240" w:lineRule="auto"/>
            </w:pPr>
            <w:r>
              <w:t>Run-level diagnosis (9 of 10 held-out runs)</w:t>
            </w:r>
          </w:p>
        </w:tc>
        <w:tc>
          <w:tcPr>
            <w:tcW w:w="3135" w:type="dxa"/>
          </w:tcPr>
          <w:p w14:paraId="064E621A">
            <w:pPr>
              <w:spacing w:after="0" w:line="240" w:lineRule="auto"/>
            </w:pPr>
            <w:r>
              <w:rPr>
                <w:b/>
              </w:rPr>
              <w:t>100% each</w:t>
            </w:r>
          </w:p>
        </w:tc>
        <w:tc>
          <w:tcPr>
            <w:tcW w:w="3135" w:type="dxa"/>
          </w:tcPr>
          <w:p w14:paraId="42CD7DCF">
            <w:pPr>
              <w:spacing w:after="0" w:line="240" w:lineRule="auto"/>
            </w:pPr>
            <w:r>
              <w:t>per-fold breakdown, §7.6</w:t>
            </w:r>
          </w:p>
        </w:tc>
      </w:tr>
      <w:tr w14:paraId="2CC7DF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149C7A7">
            <w:pPr>
              <w:spacing w:after="0" w:line="240" w:lineRule="auto"/>
            </w:pPr>
            <w:r>
              <w:t>Calibration gap (top bin)</w:t>
            </w:r>
          </w:p>
        </w:tc>
        <w:tc>
          <w:tcPr>
            <w:tcW w:w="3135" w:type="dxa"/>
          </w:tcPr>
          <w:p w14:paraId="334763E2">
            <w:pPr>
              <w:spacing w:after="0" w:line="240" w:lineRule="auto"/>
            </w:pPr>
            <w:r>
              <w:t>0.260 (&gt; 0.15 tolerance)</w:t>
            </w:r>
          </w:p>
        </w:tc>
        <w:tc>
          <w:tcPr>
            <w:tcW w:w="3135" w:type="dxa"/>
          </w:tcPr>
          <w:p w14:paraId="4FC4B331">
            <w:pPr>
              <w:spacing w:after="0" w:line="240" w:lineRule="auto"/>
            </w:pPr>
            <w:r>
              <w:t>notebook 08 reliability check</w:t>
            </w:r>
          </w:p>
        </w:tc>
      </w:tr>
      <w:tr w14:paraId="30975B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610D21B">
            <w:pPr>
              <w:spacing w:after="0" w:line="240" w:lineRule="auto"/>
            </w:pPr>
            <w:r>
              <w:t>Deployed-dashboard smoke test</w:t>
            </w:r>
          </w:p>
        </w:tc>
        <w:tc>
          <w:tcPr>
            <w:tcW w:w="3135" w:type="dxa"/>
          </w:tcPr>
          <w:p w14:paraId="7F427165">
            <w:pPr>
              <w:spacing w:after="0" w:line="240" w:lineRule="auto"/>
            </w:pPr>
            <w:r>
              <w:rPr>
                <w:b/>
              </w:rPr>
              <w:t>5/5 correct verdicts</w:t>
            </w:r>
            <w:r>
              <w:t>, 100% window agreement each</w:t>
            </w:r>
          </w:p>
        </w:tc>
        <w:tc>
          <w:tcPr>
            <w:tcW w:w="3135" w:type="dxa"/>
          </w:tcPr>
          <w:p w14:paraId="764F0217">
            <w:pPr>
              <w:spacing w:after="0" w:line="240" w:lineRule="auto"/>
            </w:pPr>
            <w:r>
              <w:t>headless Streamlit run, 5 raw logs</w:t>
            </w:r>
          </w:p>
        </w:tc>
      </w:tr>
    </w:tbl>
    <w:p w14:paraId="47F10AB0"/>
    <w:p w14:paraId="6F0D0A9D">
      <w:r>
        <w:rPr>
          <w:b/>
        </w:rPr>
        <w:t>Overall validation verdict:</w:t>
      </w:r>
      <w:r>
        <w:t xml:space="preserve"> the system passes its test plan (§7.1) on every named obligation — detection, diagnosis, open-set rejection, and deployment parity — under a validation protocol (leave-one-run-out) that is strict specifically because it is honest about the dependence structure of the underlying windows. The one quantified shortfall (GeneratorFault recall 70.7%, driven entirely by one run) and the one qualitative caveat (overconfident top-bin probabilities) are both traced to a specific, named, fixable data-collection defect rather than to the model architecture or validation methodology — and are documented as such rather than smoothed over in the headline numbers.</w:t>
      </w:r>
    </w:p>
    <w:p w14:paraId="028E47C1">
      <w:r>
        <w:t xml:space="preserve">*Sources: </w:t>
      </w:r>
      <w:r>
        <w:rPr>
          <w:rFonts w:ascii="Consolas" w:hAnsi="Consolas"/>
          <w:sz w:val="19"/>
        </w:rPr>
        <w:t>docs/Model_Based_Predictive_Maintenance_of_Electrical_Machine.md</w:t>
      </w:r>
      <w:r>
        <w:t xml:space="preserve"> (main report, §§4–11), </w:t>
      </w:r>
      <w:r>
        <w:rPr>
          <w:rFonts w:ascii="Consolas" w:hAnsi="Consolas"/>
          <w:sz w:val="19"/>
        </w:rPr>
        <w:t>notebooks/04_feature_extract.ipynb</w:t>
      </w:r>
      <w:r>
        <w:t xml:space="preserve">, </w:t>
      </w:r>
      <w:r>
        <w:rPr>
          <w:rFonts w:ascii="Consolas" w:hAnsi="Consolas"/>
          <w:sz w:val="19"/>
        </w:rPr>
        <w:t>notebooks/05_train_compare.ipynb</w:t>
      </w:r>
      <w:r>
        <w:t xml:space="preserve">, </w:t>
      </w:r>
      <w:r>
        <w:rPr>
          <w:rFonts w:ascii="Consolas" w:hAnsi="Consolas"/>
          <w:sz w:val="19"/>
        </w:rPr>
        <w:t>notebooks/07_two_stage_pipeline.ipynb</w:t>
      </w:r>
      <w:r>
        <w:t xml:space="preserve">, </w:t>
      </w:r>
      <w:r>
        <w:rPr>
          <w:rFonts w:ascii="Consolas" w:hAnsi="Consolas"/>
          <w:sz w:val="19"/>
        </w:rPr>
        <w:t>notebooks/08_robustness_checks.ipynb</w:t>
      </w:r>
      <w:r>
        <w:t xml:space="preserve">, </w:t>
      </w:r>
      <w:r>
        <w:rPr>
          <w:rFonts w:ascii="Consolas" w:hAnsi="Consolas"/>
          <w:sz w:val="19"/>
        </w:rPr>
        <w:t>wiki/training-and-models.md</w:t>
      </w:r>
      <w:r>
        <w:t xml:space="preserve">, </w:t>
      </w:r>
      <w:r>
        <w:rPr>
          <w:rFonts w:ascii="Consolas" w:hAnsi="Consolas"/>
          <w:sz w:val="19"/>
        </w:rPr>
        <w:t>wiki/open-issues.md</w:t>
      </w:r>
      <w:r>
        <w:t xml:space="preserve">, and </w:t>
      </w:r>
      <w:r>
        <w:rPr>
          <w:rFonts w:ascii="Consolas" w:hAnsi="Consolas"/>
          <w:sz w:val="19"/>
        </w:rPr>
        <w:t>artifacts/</w:t>
      </w:r>
      <w:r>
        <w:t xml:space="preserve"> (</w:t>
      </w:r>
      <w:r>
        <w:rPr>
          <w:rFonts w:ascii="Consolas" w:hAnsi="Consolas"/>
          <w:sz w:val="19"/>
        </w:rPr>
        <w:t>two_stage_metrics.json</w:t>
      </w:r>
      <w:r>
        <w:t xml:space="preserve">, </w:t>
      </w:r>
      <w:r>
        <w:rPr>
          <w:rFonts w:ascii="Consolas" w:hAnsi="Consolas"/>
          <w:sz w:val="19"/>
        </w:rPr>
        <w:t>two_stage_model_comparison.csv</w:t>
      </w:r>
      <w:r>
        <w:t xml:space="preserve">, </w:t>
      </w:r>
      <w:r>
        <w:rPr>
          <w:rFonts w:ascii="Consolas" w:hAnsi="Consolas"/>
          <w:sz w:val="19"/>
        </w:rPr>
        <w:t>model_comparison.csv</w:t>
      </w:r>
      <w:r>
        <w:t xml:space="preserve">, </w:t>
      </w:r>
      <w:r>
        <w:rPr>
          <w:rFonts w:ascii="Consolas" w:hAnsi="Consolas"/>
          <w:sz w:val="19"/>
        </w:rPr>
        <w:t>feature_importance.csv</w:t>
      </w:r>
      <w:r>
        <w:t xml:space="preserve">, </w:t>
      </w:r>
      <w:r>
        <w:rPr>
          <w:rFonts w:ascii="Consolas" w:hAnsi="Consolas"/>
          <w:sz w:val="19"/>
        </w:rPr>
        <w:t>feature_group_ablation.csv</w:t>
      </w:r>
      <w:r>
        <w:t xml:space="preserve">, </w:t>
      </w:r>
      <w:r>
        <w:rPr>
          <w:rFonts w:ascii="Consolas" w:hAnsi="Consolas"/>
          <w:sz w:val="19"/>
        </w:rPr>
        <w:t>window_counts.csv</w:t>
      </w:r>
      <w:r>
        <w:t xml:space="preserve">, </w:t>
      </w:r>
      <w:r>
        <w:rPr>
          <w:rFonts w:ascii="Consolas" w:hAnsi="Consolas"/>
          <w:sz w:val="19"/>
        </w:rPr>
        <w:t>robustness_per_fold.csv</w:t>
      </w:r>
      <w:r>
        <w:t xml:space="preserve">, </w:t>
      </w:r>
      <w:r>
        <w:rPr>
          <w:rFonts w:ascii="Consolas" w:hAnsi="Consolas"/>
          <w:sz w:val="19"/>
        </w:rPr>
        <w:t>robustness_gate_analysis.csv</w:t>
      </w:r>
      <w:r>
        <w:t xml:space="preserve">, </w:t>
      </w:r>
      <w:r>
        <w:rPr>
          <w:rFonts w:ascii="Consolas" w:hAnsi="Consolas"/>
          <w:sz w:val="19"/>
        </w:rPr>
        <w:t>robustness_stage1_comparison.csv</w:t>
      </w:r>
      <w:r>
        <w:t xml:space="preserve">, </w:t>
      </w:r>
      <w:r>
        <w:rPr>
          <w:rFonts w:ascii="Consolas" w:hAnsi="Consolas"/>
          <w:sz w:val="19"/>
        </w:rPr>
        <w:t>robustness_summary.txt</w:t>
      </w:r>
      <w:r>
        <w:t xml:space="preserve">, </w:t>
      </w:r>
      <w:r>
        <w:rPr>
          <w:rFonts w:ascii="Consolas" w:hAnsi="Consolas"/>
          <w:sz w:val="19"/>
        </w:rPr>
        <w:t>MODEL_CARD.md</w:t>
      </w:r>
      <w:r>
        <w:t>).*</w:t>
      </w:r>
    </w:p>
    <w:sectPr>
      <w:footerReference r:id="rId5" w:type="default"/>
      <w:pgSz w:w="12240" w:h="15840"/>
      <w:pgMar w:top="1440" w:right="1417" w:bottom="1440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F6C9E">
    <w:pPr>
      <w:pStyle w:val="18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DF6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Siddhi Agrawal</cp:lastModifiedBy>
  <dcterms:modified xsi:type="dcterms:W3CDTF">2026-07-09T09:53:26Z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64AE2AA52BF0444B9D9E304037CE48BC_12</vt:lpwstr>
  </property>
</Properties>
</file>