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400"/>
              <w:left w:type="dxa" w:w="400"/>
              <w:bottom w:type="dxa" w:w="400"/>
              <w:right w:type="dxa" w:w="400"/>
            </w:tcMar>
          </w:tcPr>
          <w:p>
            <w:pPr>
              <w:spacing w:after="60"/>
              <w:jc w:val="center"/>
            </w:pPr>
            <w:r>
              <w:rPr>
                <w:rFonts w:ascii="Arial" w:cs="Arial" w:eastAsia="Arial" w:hAnsi="Arial"/>
                <w:caps/>
                <w:color w:val="D0E4F5"/>
                <w:spacing w:val="120"/>
                <w:sz w:val="20"/>
                <w:szCs w:val="20"/>
              </w:rPr>
              <w:t xml:space="preserve">PROJECT REPORT</w:t>
            </w:r>
          </w:p>
          <w:p>
            <w:pPr>
              <w:spacing w:after="80"/>
              <w:jc w:val="center"/>
            </w:pPr>
            <w:r>
              <w:rPr>
                <w:rFonts w:ascii="Arial" w:cs="Arial" w:eastAsia="Arial" w:hAnsi="Arial"/>
                <w:b/>
                <w:bCs/>
                <w:color w:val="FFFFFF"/>
                <w:sz w:val="52"/>
                <w:szCs w:val="52"/>
              </w:rPr>
              <w:t xml:space="preserve">Babel Fish with LLM, STT &amp; TTS</w:t>
            </w:r>
          </w:p>
          <w:p>
            <w:pPr>
              <w:jc w:val="center"/>
            </w:pPr>
            <w:r>
              <w:rPr>
                <w:rFonts w:ascii="Arial" w:cs="Arial" w:eastAsia="Arial" w:hAnsi="Arial"/>
                <w:i/>
                <w:iCs/>
                <w:color w:val="D0E4F5"/>
                <w:sz w:val="24"/>
                <w:szCs w:val="24"/>
              </w:rPr>
              <w:t xml:space="preserve">Voice Translation Assistant using Watsonx + IBM Watson Speech Libraries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Duration</w:t>
            </w:r>
          </w:p>
        </w:tc>
        <w:tc>
          <w:tcPr>
            <w:tcW w:type="dxa" w:w="7160"/>
            <w:tcBorders>
              <w:top w:val="single" w:color="CCCCCC" w:sz="1"/>
              <w:left w:val="single" w:color="CCCCCC" w:sz="1"/>
              <w:bottom w:val="single" w:color="CCCCCC" w:sz="1"/>
              <w:right w:val="single" w:color="CCCCCC" w:sz="1"/>
            </w:tcBorders>
            <w:shd w:fill="F2F5FA" w:val="clear"/>
            <w:tcMar>
              <w:top w:type="dxa" w:w="100"/>
              <w:left w:type="dxa" w:w="160"/>
              <w:bottom w:type="dxa" w:w="100"/>
              <w:right w:type="dxa" w:w="160"/>
            </w:tcMar>
          </w:tcPr>
          <w:p>
            <w:r>
              <w:rPr>
                <w:rFonts w:ascii="Arial" w:cs="Arial" w:eastAsia="Arial" w:hAnsi="Arial"/>
                <w:color w:val="1A1A1A"/>
                <w:sz w:val="22"/>
                <w:szCs w:val="22"/>
              </w:rPr>
              <w:t xml:space="preserve">Estimated 90 minutes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Platform</w:t>
            </w:r>
          </w:p>
        </w:tc>
        <w:tc>
          <w:tcPr>
            <w:tcW w:type="dxa" w:w="7160"/>
            <w:tcBorders>
              <w:top w:val="single" w:color="CCCCCC" w:sz="1"/>
              <w:left w:val="single" w:color="CCCCCC" w:sz="1"/>
              <w:bottom w:val="single" w:color="CCCCCC" w:sz="1"/>
              <w:right w:val="single" w:color="CCCCCC" w:sz="1"/>
            </w:tcBorders>
            <w:shd w:fill="F2F5FA" w:val="clear"/>
            <w:tcMar>
              <w:top w:type="dxa" w:w="100"/>
              <w:left w:type="dxa" w:w="160"/>
              <w:bottom w:type="dxa" w:w="100"/>
              <w:right w:type="dxa" w:w="160"/>
            </w:tcMar>
          </w:tcPr>
          <w:p>
            <w:r>
              <w:rPr>
                <w:rFonts w:ascii="Arial" w:cs="Arial" w:eastAsia="Arial" w:hAnsi="Arial"/>
                <w:color w:val="1A1A1A"/>
                <w:sz w:val="22"/>
                <w:szCs w:val="22"/>
              </w:rPr>
              <w:t xml:space="preserve">IBM Cloud / Skills Network CloudIDE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License</w:t>
            </w:r>
          </w:p>
        </w:tc>
        <w:tc>
          <w:tcPr>
            <w:tcW w:type="dxa" w:w="7160"/>
            <w:tcBorders>
              <w:top w:val="single" w:color="CCCCCC" w:sz="1"/>
              <w:left w:val="single" w:color="CCCCCC" w:sz="1"/>
              <w:bottom w:val="single" w:color="CCCCCC" w:sz="1"/>
              <w:right w:val="single" w:color="CCCCCC" w:sz="1"/>
            </w:tcBorders>
            <w:shd w:fill="F2F5FA" w:val="clear"/>
            <w:tcMar>
              <w:top w:type="dxa" w:w="100"/>
              <w:left w:type="dxa" w:w="160"/>
              <w:bottom w:type="dxa" w:w="100"/>
              <w:right w:type="dxa" w:w="160"/>
            </w:tcMar>
          </w:tcPr>
          <w:p>
            <w:r>
              <w:rPr>
                <w:rFonts w:ascii="Arial" w:cs="Arial" w:eastAsia="Arial" w:hAnsi="Arial"/>
                <w:color w:val="1A1A1A"/>
                <w:sz w:val="22"/>
                <w:szCs w:val="22"/>
              </w:rPr>
              <w:t xml:space="preserve">Apache 2.0</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Authors</w:t>
            </w:r>
          </w:p>
        </w:tc>
        <w:tc>
          <w:tcPr>
            <w:tcW w:type="dxa" w:w="7160"/>
            <w:tcBorders>
              <w:top w:val="single" w:color="CCCCCC" w:sz="1"/>
              <w:left w:val="single" w:color="CCCCCC" w:sz="1"/>
              <w:bottom w:val="single" w:color="CCCCCC" w:sz="1"/>
              <w:right w:val="single" w:color="CCCCCC" w:sz="1"/>
            </w:tcBorders>
            <w:shd w:fill="F2F5FA" w:val="clear"/>
            <w:tcMar>
              <w:top w:type="dxa" w:w="100"/>
              <w:left w:type="dxa" w:w="160"/>
              <w:bottom w:type="dxa" w:w="100"/>
              <w:right w:type="dxa" w:w="160"/>
            </w:tcMar>
          </w:tcPr>
          <w:p>
            <w:r>
              <w:rPr>
                <w:rFonts w:ascii="Arial" w:cs="Arial" w:eastAsia="Arial" w:hAnsi="Arial"/>
                <w:color w:val="1A1A1A"/>
                <w:sz w:val="22"/>
                <w:szCs w:val="22"/>
              </w:rPr>
              <w:t xml:space="preserve">Talha Siddiqui, Rohit Arora, Vicky Kuo  |  Contributor: Kang Wang</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LLM Model</w:t>
            </w:r>
          </w:p>
        </w:tc>
        <w:tc>
          <w:tcPr>
            <w:tcW w:type="dxa" w:w="7160"/>
            <w:tcBorders>
              <w:top w:val="single" w:color="CCCCCC" w:sz="1"/>
              <w:left w:val="single" w:color="CCCCCC" w:sz="1"/>
              <w:bottom w:val="single" w:color="CCCCCC" w:sz="1"/>
              <w:right w:val="single" w:color="CCCCCC" w:sz="1"/>
            </w:tcBorders>
            <w:shd w:fill="F2F5FA" w:val="clear"/>
            <w:tcMar>
              <w:top w:type="dxa" w:w="100"/>
              <w:left w:type="dxa" w:w="160"/>
              <w:bottom w:type="dxa" w:w="100"/>
              <w:right w:type="dxa" w:w="160"/>
            </w:tcMar>
          </w:tcPr>
          <w:p>
            <w:r>
              <w:rPr>
                <w:rFonts w:ascii="Arial" w:cs="Arial" w:eastAsia="Arial" w:hAnsi="Arial"/>
                <w:color w:val="1A1A1A"/>
                <w:sz w:val="22"/>
                <w:szCs w:val="22"/>
              </w:rPr>
              <w:t xml:space="preserve">mistralai/mistral-medium-2505 (via Watsonx)</w:t>
            </w:r>
          </w:p>
        </w:tc>
      </w:tr>
    </w:tbl>
    <w:p>
      <w:pPr>
        <w:spacing w:after="320" w:before="0"/>
      </w:pPr>
      <w:r>
        <w:t xml:space="preserve"/>
      </w:r>
    </w:p>
    <w:p>
      <w:pPr>
        <w:pStyle w:val="Heading1"/>
        <w:pBdr>
          <w:top w:val="none" w:color="FFFFFF" w:sz="0"/>
          <w:left w:val="none" w:color="FFFFFF" w:sz="0"/>
          <w:bottom w:val="single" w:color="2E75B6" w:sz="8"/>
          <w:right w:val="none" w:color="FFFFFF" w:sz="0"/>
        </w:pBdr>
        <w:spacing w:after="120" w:before="360"/>
      </w:pPr>
      <w:r>
        <w:rPr>
          <w:rFonts w:ascii="Arial" w:cs="Arial" w:eastAsia="Arial" w:hAnsi="Arial"/>
          <w:b/>
          <w:bCs/>
          <w:color w:val="1B3A6B"/>
          <w:sz w:val="36"/>
          <w:szCs w:val="36"/>
        </w:rPr>
        <w:t xml:space="preserve">1. Overview</w:t>
      </w:r>
    </w:p>
    <w:p>
      <w:pPr>
        <w:spacing w:after="120" w:before="80" w:line="320"/>
      </w:pPr>
      <w:r>
        <w:rPr>
          <w:rFonts w:ascii="Arial" w:cs="Arial" w:eastAsia="Arial" w:hAnsi="Arial"/>
          <w:color w:val="333333"/>
          <w:sz w:val="22"/>
          <w:szCs w:val="22"/>
        </w:rPr>
        <w:t xml:space="preserve">This project is a guided, hands-on lab that walks developers through building a full-stack voice-translation assistant — nicknamed "Babel Fish" after the fictional universal translator from Douglas Adams' The Hitchhiker's Guide to the Galaxy. The application listens to the user's spoken English, transcribes it to text, sends that text to a large-language model (LLM) for translation, converts the translated text back into spoken audio, and plays it back through the browser.</w:t>
      </w:r>
    </w:p>
    <w:p>
      <w:pPr>
        <w:spacing w:after="160" w:before="0"/>
      </w:pPr>
      <w:r>
        <w:t xml:space="preserve"/>
      </w:r>
    </w:p>
    <w:p>
      <w:pPr>
        <w:spacing w:after="120" w:before="80" w:line="320"/>
      </w:pPr>
      <w:r>
        <w:rPr>
          <w:rFonts w:ascii="Arial" w:cs="Arial" w:eastAsia="Arial" w:hAnsi="Arial"/>
          <w:color w:val="333333"/>
          <w:sz w:val="22"/>
          <w:szCs w:val="22"/>
        </w:rPr>
        <w:t xml:space="preserve">The assistant integrates three IBM AI services:</w:t>
      </w:r>
    </w:p>
    <w:p>
      <w:pPr>
        <w:pStyle w:val="ListParagraph"/>
        <w:numPr>
          <w:ilvl w:val="0"/>
          <w:numId w:val="2"/>
        </w:numPr>
        <w:spacing w:after="60" w:before="60" w:line="300"/>
      </w:pPr>
      <w:r>
        <w:rPr>
          <w:rFonts w:ascii="Arial" w:cs="Arial" w:eastAsia="Arial" w:hAnsi="Arial"/>
          <w:b w:val="false"/>
          <w:bCs w:val="false"/>
          <w:color w:val="333333"/>
          <w:sz w:val="22"/>
          <w:szCs w:val="22"/>
        </w:rPr>
        <w:t xml:space="preserve">IBM Watsonx (mistralai/mistral-medium-2505) for text understanding and translation</w:t>
      </w:r>
    </w:p>
    <w:p>
      <w:pPr>
        <w:pStyle w:val="ListParagraph"/>
        <w:numPr>
          <w:ilvl w:val="0"/>
          <w:numId w:val="2"/>
        </w:numPr>
        <w:spacing w:after="60" w:before="60" w:line="300"/>
      </w:pPr>
      <w:r>
        <w:rPr>
          <w:rFonts w:ascii="Arial" w:cs="Arial" w:eastAsia="Arial" w:hAnsi="Arial"/>
          <w:b w:val="false"/>
          <w:bCs w:val="false"/>
          <w:color w:val="333333"/>
          <w:sz w:val="22"/>
          <w:szCs w:val="22"/>
        </w:rPr>
        <w:t xml:space="preserve">IBM Watson Speech-to-Text (STT) for converting microphone input into text</w:t>
      </w:r>
    </w:p>
    <w:p>
      <w:pPr>
        <w:pStyle w:val="ListParagraph"/>
        <w:numPr>
          <w:ilvl w:val="0"/>
          <w:numId w:val="2"/>
        </w:numPr>
        <w:spacing w:after="60" w:before="60" w:line="300"/>
      </w:pPr>
      <w:r>
        <w:rPr>
          <w:rFonts w:ascii="Arial" w:cs="Arial" w:eastAsia="Arial" w:hAnsi="Arial"/>
          <w:b w:val="false"/>
          <w:bCs w:val="false"/>
          <w:color w:val="333333"/>
          <w:sz w:val="22"/>
          <w:szCs w:val="22"/>
        </w:rPr>
        <w:t xml:space="preserve">IBM Watson Text-to-Speech (TTS) for converting the translated text back into audio</w:t>
      </w:r>
    </w:p>
    <w:p>
      <w:pPr>
        <w:spacing w:after="160" w:before="0"/>
      </w:pPr>
      <w:r>
        <w:t xml:space="preserve"/>
      </w:r>
    </w:p>
    <w:p>
      <w:pPr>
        <w:spacing w:after="120" w:before="80" w:line="320"/>
      </w:pPr>
      <w:r>
        <w:rPr>
          <w:rFonts w:ascii="Arial" w:cs="Arial" w:eastAsia="Arial" w:hAnsi="Arial"/>
          <w:color w:val="333333"/>
          <w:sz w:val="22"/>
          <w:szCs w:val="22"/>
        </w:rPr>
        <w:t xml:space="preserve">A responsive web frontend built with HTML, CSS, Bootstrap, Font Awesome, and jQuery communicates with a Python Flask backend that orchestrates all three services. The completed application supports both typed and spoken input, light and dark UI themes, and selectable TTS voice profiles (including Spanish).</w:t>
      </w:r>
    </w:p>
    <w:p>
      <w:pPr>
        <w:spacing w:after="160" w:before="0"/>
      </w:pPr>
      <w:r>
        <w:t xml:space="preserve"/>
      </w:r>
    </w:p>
    <w:p>
      <w:pPr>
        <w:pStyle w:val="Heading2"/>
        <w:spacing w:after="100" w:before="280"/>
      </w:pPr>
      <w:r>
        <w:rPr>
          <w:rFonts w:ascii="Arial" w:cs="Arial" w:eastAsia="Arial" w:hAnsi="Arial"/>
          <w:b/>
          <w:bCs/>
          <w:color w:val="2E75B6"/>
          <w:sz w:val="28"/>
          <w:szCs w:val="28"/>
        </w:rPr>
        <w:t xml:space="preserve">1.1 Background &amp; Motivation</w:t>
      </w:r>
    </w:p>
    <w:p>
      <w:pPr>
        <w:spacing w:after="120" w:before="80" w:line="320"/>
      </w:pPr>
      <w:r>
        <w:rPr>
          <w:rFonts w:ascii="Arial" w:cs="Arial" w:eastAsia="Arial" w:hAnsi="Arial"/>
          <w:color w:val="333333"/>
          <w:sz w:val="22"/>
          <w:szCs w:val="22"/>
        </w:rPr>
        <w:t xml:space="preserve">Modern multilingual communication requires real-time, voice-driven translation. By combining cutting-edge LLM capabilities with containerised IBM Watson speech libraries, this project demonstrates a production-realistic pipeline that developers can extend into customer-service bots, travel translators, educational tutors, or domain-specific assistants through prompt engineering alone.</w:t>
      </w:r>
    </w:p>
    <w:p>
      <w:pPr>
        <w:spacing w:after="160" w:before="0"/>
      </w:pPr>
      <w:r>
        <w:t xml:space="preserve"/>
      </w:r>
    </w:p>
    <w:p>
      <w:pPr>
        <w:pStyle w:val="Heading2"/>
        <w:spacing w:after="100" w:before="280"/>
      </w:pPr>
      <w:r>
        <w:rPr>
          <w:rFonts w:ascii="Arial" w:cs="Arial" w:eastAsia="Arial" w:hAnsi="Arial"/>
          <w:b/>
          <w:bCs/>
          <w:color w:val="2E75B6"/>
          <w:sz w:val="28"/>
          <w:szCs w:val="28"/>
        </w:rPr>
        <w:t xml:space="preserve">1.2 Scope</w:t>
      </w:r>
    </w:p>
    <w:p>
      <w:pPr>
        <w:spacing w:after="120" w:before="80" w:line="320"/>
      </w:pPr>
      <w:r>
        <w:rPr>
          <w:rFonts w:ascii="Arial" w:cs="Arial" w:eastAsia="Arial" w:hAnsi="Arial"/>
          <w:color w:val="333333"/>
          <w:sz w:val="22"/>
          <w:szCs w:val="22"/>
        </w:rPr>
        <w:t xml:space="preserve">The lab is self-contained within IBM Skills Network's CloudIDE environment. Step 9 optionally covers deploying the finished application publicly to IBM Cloud Code Engine. The core coding scope spans seven steps (Steps 1–7); deployment is optional (Step 9).</w:t>
      </w:r>
    </w:p>
    <w:p>
      <w:pPr>
        <w:spacing w:after="320" w:before="0"/>
      </w:pPr>
      <w:r>
        <w:t xml:space="preserve"/>
      </w:r>
    </w:p>
    <w:p>
      <w:pPr>
        <w:pStyle w:val="Heading1"/>
        <w:pBdr>
          <w:top w:val="none" w:color="FFFFFF" w:sz="0"/>
          <w:left w:val="none" w:color="FFFFFF" w:sz="0"/>
          <w:bottom w:val="single" w:color="2E75B6" w:sz="8"/>
          <w:right w:val="none" w:color="FFFFFF" w:sz="0"/>
        </w:pBdr>
        <w:spacing w:after="120" w:before="360"/>
      </w:pPr>
      <w:r>
        <w:rPr>
          <w:rFonts w:ascii="Arial" w:cs="Arial" w:eastAsia="Arial" w:hAnsi="Arial"/>
          <w:b/>
          <w:bCs/>
          <w:color w:val="1B3A6B"/>
          <w:sz w:val="36"/>
          <w:szCs w:val="36"/>
        </w:rPr>
        <w:t xml:space="preserve">2. Goals</w:t>
      </w:r>
    </w:p>
    <w:p>
      <w:pPr>
        <w:pStyle w:val="Heading2"/>
        <w:spacing w:after="100" w:before="280"/>
      </w:pPr>
      <w:r>
        <w:rPr>
          <w:rFonts w:ascii="Arial" w:cs="Arial" w:eastAsia="Arial" w:hAnsi="Arial"/>
          <w:b/>
          <w:bCs/>
          <w:color w:val="2E75B6"/>
          <w:sz w:val="28"/>
          <w:szCs w:val="28"/>
        </w:rPr>
        <w:t xml:space="preserve">2.1 Learning Objectives</w:t>
      </w:r>
    </w:p>
    <w:p>
      <w:pPr>
        <w:spacing w:after="120" w:before="80" w:line="320"/>
      </w:pPr>
      <w:r>
        <w:rPr>
          <w:rFonts w:ascii="Arial" w:cs="Arial" w:eastAsia="Arial" w:hAnsi="Arial"/>
          <w:color w:val="333333"/>
          <w:sz w:val="22"/>
          <w:szCs w:val="22"/>
        </w:rPr>
        <w:t xml:space="preserve">By the end of this project, participants will be able to:</w:t>
      </w:r>
    </w:p>
    <w:p>
      <w:pPr>
        <w:pStyle w:val="ListParagraph"/>
        <w:numPr>
          <w:ilvl w:val="0"/>
          <w:numId w:val="3"/>
        </w:numPr>
        <w:spacing w:after="60" w:before="60" w:line="300"/>
      </w:pPr>
      <w:r>
        <w:rPr>
          <w:rFonts w:ascii="Arial" w:cs="Arial" w:eastAsia="Arial" w:hAnsi="Arial"/>
          <w:color w:val="333333"/>
          <w:sz w:val="22"/>
          <w:szCs w:val="22"/>
        </w:rPr>
        <w:t xml:space="preserve">Explain the basics of voice assistants and their applications across industries.</w:t>
      </w:r>
    </w:p>
    <w:p>
      <w:pPr>
        <w:pStyle w:val="ListParagraph"/>
        <w:numPr>
          <w:ilvl w:val="0"/>
          <w:numId w:val="3"/>
        </w:numPr>
        <w:spacing w:after="60" w:before="60" w:line="300"/>
      </w:pPr>
      <w:r>
        <w:rPr>
          <w:rFonts w:ascii="Arial" w:cs="Arial" w:eastAsia="Arial" w:hAnsi="Arial"/>
          <w:color w:val="333333"/>
          <w:sz w:val="22"/>
          <w:szCs w:val="22"/>
        </w:rPr>
        <w:t xml:space="preserve">Set up a Python + Flask development environment and understand project structure.</w:t>
      </w:r>
    </w:p>
    <w:p>
      <w:pPr>
        <w:pStyle w:val="ListParagraph"/>
        <w:numPr>
          <w:ilvl w:val="0"/>
          <w:numId w:val="3"/>
        </w:numPr>
        <w:spacing w:after="60" w:before="60" w:line="300"/>
      </w:pPr>
      <w:r>
        <w:rPr>
          <w:rFonts w:ascii="Arial" w:cs="Arial" w:eastAsia="Arial" w:hAnsi="Arial"/>
          <w:color w:val="333333"/>
          <w:sz w:val="22"/>
          <w:szCs w:val="22"/>
        </w:rPr>
        <w:t xml:space="preserve">Implement Speech-to-Text (STT) functionality to capture and transcribe user voice input.</w:t>
      </w:r>
    </w:p>
    <w:p>
      <w:pPr>
        <w:pStyle w:val="ListParagraph"/>
        <w:numPr>
          <w:ilvl w:val="0"/>
          <w:numId w:val="3"/>
        </w:numPr>
        <w:spacing w:after="60" w:before="60" w:line="300"/>
      </w:pPr>
      <w:r>
        <w:rPr>
          <w:rFonts w:ascii="Arial" w:cs="Arial" w:eastAsia="Arial" w:hAnsi="Arial"/>
          <w:color w:val="333333"/>
          <w:sz w:val="22"/>
          <w:szCs w:val="22"/>
        </w:rPr>
        <w:t xml:space="preserve">Integrate the IBM Watsonx LLM API to generate intelligent, language-translated responses.</w:t>
      </w:r>
    </w:p>
    <w:p>
      <w:pPr>
        <w:pStyle w:val="ListParagraph"/>
        <w:numPr>
          <w:ilvl w:val="0"/>
          <w:numId w:val="3"/>
        </w:numPr>
        <w:spacing w:after="60" w:before="60" w:line="300"/>
      </w:pPr>
      <w:r>
        <w:rPr>
          <w:rFonts w:ascii="Arial" w:cs="Arial" w:eastAsia="Arial" w:hAnsi="Arial"/>
          <w:color w:val="333333"/>
          <w:sz w:val="22"/>
          <w:szCs w:val="22"/>
        </w:rPr>
        <w:t xml:space="preserve">Implement Text-to-Speech (TTS) functionality to deliver spoken output to the user.</w:t>
      </w:r>
    </w:p>
    <w:p>
      <w:pPr>
        <w:pStyle w:val="ListParagraph"/>
        <w:numPr>
          <w:ilvl w:val="0"/>
          <w:numId w:val="3"/>
        </w:numPr>
        <w:spacing w:after="60" w:before="60" w:line="300"/>
      </w:pPr>
      <w:r>
        <w:rPr>
          <w:rFonts w:ascii="Arial" w:cs="Arial" w:eastAsia="Arial" w:hAnsi="Arial"/>
          <w:color w:val="333333"/>
          <w:sz w:val="22"/>
          <w:szCs w:val="22"/>
        </w:rPr>
        <w:t xml:space="preserve">Wire all components together through Flask API endpoints into a working end-to-end application.</w:t>
      </w:r>
    </w:p>
    <w:p>
      <w:pPr>
        <w:pStyle w:val="ListParagraph"/>
        <w:numPr>
          <w:ilvl w:val="0"/>
          <w:numId w:val="3"/>
        </w:numPr>
        <w:spacing w:after="60" w:before="60" w:line="300"/>
      </w:pPr>
      <w:r>
        <w:rPr>
          <w:rFonts w:ascii="Arial" w:cs="Arial" w:eastAsia="Arial" w:hAnsi="Arial"/>
          <w:color w:val="333333"/>
          <w:sz w:val="22"/>
          <w:szCs w:val="22"/>
        </w:rPr>
        <w:t xml:space="preserve">Deploy the application as a live web service (optional: IBM Code Engine).</w:t>
      </w:r>
    </w:p>
    <w:p>
      <w:pPr>
        <w:spacing w:after="160" w:before="0"/>
      </w:pPr>
      <w:r>
        <w:t xml:space="preserve"/>
      </w:r>
    </w:p>
    <w:p>
      <w:pPr>
        <w:pStyle w:val="Heading2"/>
        <w:spacing w:after="100" w:before="280"/>
      </w:pPr>
      <w:r>
        <w:rPr>
          <w:rFonts w:ascii="Arial" w:cs="Arial" w:eastAsia="Arial" w:hAnsi="Arial"/>
          <w:b/>
          <w:bCs/>
          <w:color w:val="2E75B6"/>
          <w:sz w:val="28"/>
          <w:szCs w:val="28"/>
        </w:rPr>
        <w:t xml:space="preserve">2.2 Business / Product Goals</w:t>
      </w:r>
    </w:p>
    <w:p>
      <w:pPr>
        <w:pStyle w:val="ListParagraph"/>
        <w:numPr>
          <w:ilvl w:val="0"/>
          <w:numId w:val="2"/>
        </w:numPr>
        <w:spacing w:after="60" w:before="60" w:line="300"/>
      </w:pPr>
      <w:r>
        <w:rPr>
          <w:rFonts w:ascii="Arial" w:cs="Arial" w:eastAsia="Arial" w:hAnsi="Arial"/>
          <w:b w:val="false"/>
          <w:bCs w:val="false"/>
          <w:color w:val="333333"/>
          <w:sz w:val="22"/>
          <w:szCs w:val="22"/>
        </w:rPr>
        <w:t xml:space="preserve">Demonstrate a full-stack, voice-first AI application achievable in approximately 90 minutes.</w:t>
      </w:r>
    </w:p>
    <w:p>
      <w:pPr>
        <w:pStyle w:val="ListParagraph"/>
        <w:numPr>
          <w:ilvl w:val="0"/>
          <w:numId w:val="2"/>
        </w:numPr>
        <w:spacing w:after="60" w:before="60" w:line="300"/>
      </w:pPr>
      <w:r>
        <w:rPr>
          <w:rFonts w:ascii="Arial" w:cs="Arial" w:eastAsia="Arial" w:hAnsi="Arial"/>
          <w:b w:val="false"/>
          <w:bCs w:val="false"/>
          <w:color w:val="333333"/>
          <w:sz w:val="22"/>
          <w:szCs w:val="22"/>
        </w:rPr>
        <w:t xml:space="preserve">Showcase IBM Watsonx and IBM Watson Speech Libraries for Embed in a practical, relatable context.</w:t>
      </w:r>
    </w:p>
    <w:p>
      <w:pPr>
        <w:pStyle w:val="ListParagraph"/>
        <w:numPr>
          <w:ilvl w:val="0"/>
          <w:numId w:val="2"/>
        </w:numPr>
        <w:spacing w:after="60" w:before="60" w:line="300"/>
      </w:pPr>
      <w:r>
        <w:rPr>
          <w:rFonts w:ascii="Arial" w:cs="Arial" w:eastAsia="Arial" w:hAnsi="Arial"/>
          <w:b w:val="false"/>
          <w:bCs w:val="false"/>
          <w:color w:val="333333"/>
          <w:sz w:val="22"/>
          <w:szCs w:val="22"/>
        </w:rPr>
        <w:t xml:space="preserve">Provide a reusable foundation that developers can adapt for other domains via prompt engineering.</w:t>
      </w:r>
    </w:p>
    <w:p>
      <w:pPr>
        <w:pStyle w:val="ListParagraph"/>
        <w:numPr>
          <w:ilvl w:val="0"/>
          <w:numId w:val="2"/>
        </w:numPr>
        <w:spacing w:after="60" w:before="60" w:line="300"/>
      </w:pPr>
      <w:r>
        <w:rPr>
          <w:rFonts w:ascii="Arial" w:cs="Arial" w:eastAsia="Arial" w:hAnsi="Arial"/>
          <w:b w:val="false"/>
          <w:bCs w:val="false"/>
          <w:color w:val="333333"/>
          <w:sz w:val="22"/>
          <w:szCs w:val="22"/>
        </w:rPr>
        <w:t xml:space="preserve">Teach responsible AI integration: transparent prompting, clear user feedback, and explainable outputs.</w:t>
      </w:r>
    </w:p>
    <w:p>
      <w:pPr>
        <w:spacing w:after="160" w:before="0"/>
      </w:pPr>
      <w:r>
        <w:t xml:space="preserve"/>
      </w:r>
    </w:p>
    <w:p>
      <w:pPr>
        <w:pStyle w:val="Heading2"/>
        <w:spacing w:after="100" w:before="280"/>
      </w:pPr>
      <w:r>
        <w:rPr>
          <w:rFonts w:ascii="Arial" w:cs="Arial" w:eastAsia="Arial" w:hAnsi="Arial"/>
          <w:b/>
          <w:bCs/>
          <w:color w:val="2E75B6"/>
          <w:sz w:val="28"/>
          <w:szCs w:val="28"/>
        </w:rPr>
        <w:t xml:space="preserve">2.3 Stretch Goals</w:t>
      </w:r>
    </w:p>
    <w:p>
      <w:pPr>
        <w:pStyle w:val="ListParagraph"/>
        <w:numPr>
          <w:ilvl w:val="0"/>
          <w:numId w:val="2"/>
        </w:numPr>
        <w:spacing w:after="60" w:before="60" w:line="300"/>
      </w:pPr>
      <w:r>
        <w:rPr>
          <w:rFonts w:ascii="Arial" w:cs="Arial" w:eastAsia="Arial" w:hAnsi="Arial"/>
          <w:b w:val="false"/>
          <w:bCs w:val="false"/>
          <w:color w:val="333333"/>
          <w:sz w:val="22"/>
          <w:szCs w:val="22"/>
        </w:rPr>
        <w:t xml:space="preserve">Deploy publicly to IBM Cloud Code Engine for a shareable live URL.</w:t>
      </w:r>
    </w:p>
    <w:p>
      <w:pPr>
        <w:pStyle w:val="ListParagraph"/>
        <w:numPr>
          <w:ilvl w:val="0"/>
          <w:numId w:val="2"/>
        </w:numPr>
        <w:spacing w:after="60" w:before="60" w:line="300"/>
      </w:pPr>
      <w:r>
        <w:rPr>
          <w:rFonts w:ascii="Arial" w:cs="Arial" w:eastAsia="Arial" w:hAnsi="Arial"/>
          <w:b w:val="false"/>
          <w:bCs w:val="false"/>
          <w:color w:val="333333"/>
          <w:sz w:val="22"/>
          <w:szCs w:val="22"/>
        </w:rPr>
        <w:t xml:space="preserve">Extend the prompt to support multiple target languages beyond Spanish.</w:t>
      </w:r>
    </w:p>
    <w:p>
      <w:pPr>
        <w:pStyle w:val="ListParagraph"/>
        <w:numPr>
          <w:ilvl w:val="0"/>
          <w:numId w:val="2"/>
        </w:numPr>
        <w:spacing w:after="60" w:before="60" w:line="300"/>
      </w:pPr>
      <w:r>
        <w:rPr>
          <w:rFonts w:ascii="Arial" w:cs="Arial" w:eastAsia="Arial" w:hAnsi="Arial"/>
          <w:b w:val="false"/>
          <w:bCs w:val="false"/>
          <w:color w:val="333333"/>
          <w:sz w:val="22"/>
          <w:szCs w:val="22"/>
        </w:rPr>
        <w:t xml:space="preserve">Repurpose the assistant as a therapist, mechanic advisor, storyteller, or professor through prompt changes.</w:t>
      </w:r>
    </w:p>
    <w:p>
      <w:pPr>
        <w:spacing w:after="320" w:before="0"/>
      </w:pPr>
      <w:r>
        <w:t xml:space="preserve"/>
      </w:r>
    </w:p>
    <w:p>
      <w:pPr>
        <w:pStyle w:val="Heading1"/>
        <w:pBdr>
          <w:top w:val="none" w:color="FFFFFF" w:sz="0"/>
          <w:left w:val="none" w:color="FFFFFF" w:sz="0"/>
          <w:bottom w:val="single" w:color="2E75B6" w:sz="8"/>
          <w:right w:val="none" w:color="FFFFFF" w:sz="0"/>
        </w:pBdr>
        <w:spacing w:after="120" w:before="360"/>
      </w:pPr>
      <w:r>
        <w:rPr>
          <w:rFonts w:ascii="Arial" w:cs="Arial" w:eastAsia="Arial" w:hAnsi="Arial"/>
          <w:b/>
          <w:bCs/>
          <w:color w:val="1B3A6B"/>
          <w:sz w:val="36"/>
          <w:szCs w:val="36"/>
        </w:rPr>
        <w:t xml:space="preserve">3. Specifications</w:t>
      </w:r>
    </w:p>
    <w:p>
      <w:pPr>
        <w:pStyle w:val="Heading2"/>
        <w:spacing w:after="100" w:before="280"/>
      </w:pPr>
      <w:r>
        <w:rPr>
          <w:rFonts w:ascii="Arial" w:cs="Arial" w:eastAsia="Arial" w:hAnsi="Arial"/>
          <w:b/>
          <w:bCs/>
          <w:color w:val="2E75B6"/>
          <w:sz w:val="28"/>
          <w:szCs w:val="28"/>
        </w:rPr>
        <w:t xml:space="preserve">3.1 Technology Stack</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none" w:color="FFFFFF" w:sz="0"/>
              <w:left w:val="none" w:color="FFFFFF" w:sz="0"/>
              <w:bottom w:val="none" w:color="FFFFFF" w:sz="0"/>
              <w:right w:val="none" w:color="FFFFFF" w:sz="0"/>
            </w:tcBorders>
            <w:shd w:fill="0F7DC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w:t>
            </w:r>
          </w:p>
        </w:tc>
        <w:tc>
          <w:tcPr>
            <w:tcW w:type="dxa" w:w="2800"/>
            <w:tcBorders>
              <w:top w:val="none" w:color="FFFFFF" w:sz="0"/>
              <w:left w:val="none" w:color="FFFFFF" w:sz="0"/>
              <w:bottom w:val="none" w:color="FFFFFF" w:sz="0"/>
              <w:right w:val="none" w:color="FFFFFF" w:sz="0"/>
            </w:tcBorders>
            <w:shd w:fill="0F7DC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Technology</w:t>
            </w:r>
          </w:p>
        </w:tc>
        <w:tc>
          <w:tcPr>
            <w:tcW w:type="dxa" w:w="4360"/>
            <w:tcBorders>
              <w:top w:val="none" w:color="FFFFFF" w:sz="0"/>
              <w:left w:val="none" w:color="FFFFFF" w:sz="0"/>
              <w:bottom w:val="none" w:color="FFFFFF" w:sz="0"/>
              <w:right w:val="none" w:color="FFFFFF" w:sz="0"/>
            </w:tcBorders>
            <w:shd w:fill="0F7DC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HTML / CSS / JavaScript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 interface structure and interactivity</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bCs/>
                <w:color w:val="1A1A1A"/>
                <w:sz w:val="20"/>
                <w:szCs w:val="20"/>
              </w:rPr>
              <w:t xml:space="preserve">UI Framework</w:t>
            </w:r>
          </w:p>
        </w:tc>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1A"/>
                <w:sz w:val="20"/>
                <w:szCs w:val="20"/>
              </w:rPr>
              <w:t xml:space="preserve">Bootstrap</w:t>
            </w:r>
          </w:p>
        </w:tc>
        <w:tc>
          <w:tcPr>
            <w:tcW w:type="dxa" w:w="43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1A"/>
                <w:sz w:val="20"/>
                <w:szCs w:val="20"/>
              </w:rPr>
              <w:t xml:space="preserve">Responsive grid and components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Icons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Font Awesome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Microphone and action icons</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bCs/>
                <w:color w:val="1A1A1A"/>
                <w:sz w:val="20"/>
                <w:szCs w:val="20"/>
              </w:rPr>
              <w:t xml:space="preserve">DOM Manipulation</w:t>
            </w:r>
          </w:p>
        </w:tc>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1A"/>
                <w:sz w:val="20"/>
                <w:szCs w:val="20"/>
              </w:rPr>
              <w:t xml:space="preserve">jQuery</w:t>
            </w:r>
          </w:p>
        </w:tc>
        <w:tc>
          <w:tcPr>
            <w:tcW w:type="dxa" w:w="43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1A"/>
                <w:sz w:val="20"/>
                <w:szCs w:val="20"/>
              </w:rPr>
              <w:t xml:space="preserve">AJAX calls, event handling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Backend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 3.11 + Flask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REST API routing, request/response handling</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bCs/>
                <w:color w:val="1A1A1A"/>
                <w:sz w:val="20"/>
                <w:szCs w:val="20"/>
              </w:rPr>
              <w:t xml:space="preserve">Cross-Origin</w:t>
            </w:r>
          </w:p>
        </w:tc>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1A"/>
                <w:sz w:val="20"/>
                <w:szCs w:val="20"/>
              </w:rPr>
              <w:t xml:space="preserve">Flask-CORS</w:t>
            </w:r>
          </w:p>
        </w:tc>
        <w:tc>
          <w:tcPr>
            <w:tcW w:type="dxa" w:w="43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1A"/>
                <w:sz w:val="20"/>
                <w:szCs w:val="20"/>
              </w:rPr>
              <w:t xml:space="preserve">CORS policy (* for development)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LLM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Watsonx (mistralai/mistral-medium-2505)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Translation &amp; NLP via ibm_watson_machine_learning</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bCs/>
                <w:color w:val="1A1A1A"/>
                <w:sz w:val="20"/>
                <w:szCs w:val="20"/>
              </w:rPr>
              <w:t xml:space="preserve">Speech-to-Text</w:t>
            </w:r>
          </w:p>
        </w:tc>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1A"/>
                <w:sz w:val="20"/>
                <w:szCs w:val="20"/>
              </w:rPr>
              <w:t xml:space="preserve">IBM Watson STT (containerised)</w:t>
            </w:r>
          </w:p>
        </w:tc>
        <w:tc>
          <w:tcPr>
            <w:tcW w:type="dxa" w:w="43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1A"/>
                <w:sz w:val="20"/>
                <w:szCs w:val="20"/>
              </w:rPr>
              <w:t xml:space="preserve">Audio binary → English transcript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Text-to-Speech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IBM Watson TTS (containerised)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Translated text → WAV/MP3 audio</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bCs/>
                <w:color w:val="1A1A1A"/>
                <w:sz w:val="20"/>
                <w:szCs w:val="20"/>
              </w:rPr>
              <w:t xml:space="preserve">HTTP Client</w:t>
            </w:r>
          </w:p>
        </w:tc>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 requests</w:t>
            </w:r>
          </w:p>
        </w:tc>
        <w:tc>
          <w:tcPr>
            <w:tcW w:type="dxa" w:w="43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1A"/>
                <w:sz w:val="20"/>
                <w:szCs w:val="20"/>
              </w:rPr>
              <w:t xml:space="preserve">API calls to STT/TTS endpoints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Audio Encoding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base64 (Python stdlib)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Binary audio serialised for JSON transport</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bCs/>
                <w:color w:val="1A1A1A"/>
                <w:sz w:val="20"/>
                <w:szCs w:val="20"/>
              </w:rPr>
              <w:t xml:space="preserve">Deployment</w:t>
            </w:r>
          </w:p>
        </w:tc>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1A"/>
                <w:sz w:val="20"/>
                <w:szCs w:val="20"/>
              </w:rPr>
              <w:t xml:space="preserve">IBM Cloud Code Engine (optional)</w:t>
            </w:r>
          </w:p>
        </w:tc>
        <w:tc>
          <w:tcPr>
            <w:tcW w:type="dxa" w:w="43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Containerised serverless hosting</w:t>
            </w:r>
          </w:p>
        </w:tc>
      </w:tr>
    </w:tbl>
    <w:p>
      <w:pPr>
        <w:spacing w:after="320" w:before="0"/>
      </w:pPr>
      <w:r>
        <w:t xml:space="preserve"/>
      </w:r>
    </w:p>
    <w:p>
      <w:pPr>
        <w:pStyle w:val="Heading2"/>
        <w:spacing w:after="100" w:before="280"/>
      </w:pPr>
      <w:r>
        <w:rPr>
          <w:rFonts w:ascii="Arial" w:cs="Arial" w:eastAsia="Arial" w:hAnsi="Arial"/>
          <w:b/>
          <w:bCs/>
          <w:color w:val="2E75B6"/>
          <w:sz w:val="28"/>
          <w:szCs w:val="28"/>
        </w:rPr>
        <w:t xml:space="preserve">3.2 Architecture</w:t>
      </w:r>
    </w:p>
    <w:p>
      <w:pPr>
        <w:spacing w:after="120" w:before="80" w:line="320"/>
      </w:pPr>
      <w:r>
        <w:rPr>
          <w:rFonts w:ascii="Arial" w:cs="Arial" w:eastAsia="Arial" w:hAnsi="Arial"/>
          <w:color w:val="333333"/>
          <w:sz w:val="22"/>
          <w:szCs w:val="22"/>
        </w:rPr>
        <w:t xml:space="preserve">The application follows a three-tier architecture:</w:t>
      </w:r>
    </w:p>
    <w:p>
      <w:pPr>
        <w:spacing w:after="160" w:before="0"/>
      </w:pPr>
      <w:r>
        <w:t xml:space="preserve"/>
      </w:r>
    </w:p>
    <w:p>
      <w:pPr>
        <w:pStyle w:val="ListParagraph"/>
        <w:numPr>
          <w:ilvl w:val="0"/>
          <w:numId w:val="2"/>
        </w:numPr>
        <w:spacing w:after="60" w:before="60" w:line="300"/>
      </w:pPr>
      <w:r>
        <w:rPr>
          <w:rFonts w:ascii="Arial" w:cs="Arial" w:eastAsia="Arial" w:hAnsi="Arial"/>
          <w:b w:val="false"/>
          <w:bCs w:val="false"/>
          <w:color w:val="333333"/>
          <w:sz w:val="22"/>
          <w:szCs w:val="22"/>
        </w:rPr>
        <w:t xml:space="preserve">Tier 1 — Browser (Frontend): The user speaks or types; JavaScript captures the audio as binary, sends it to the Flask backend via HTTP POST, and renders the text/audio response.</w:t>
      </w:r>
    </w:p>
    <w:p>
      <w:pPr>
        <w:pStyle w:val="ListParagraph"/>
        <w:numPr>
          <w:ilvl w:val="0"/>
          <w:numId w:val="2"/>
        </w:numPr>
        <w:spacing w:after="60" w:before="60" w:line="300"/>
      </w:pPr>
      <w:r>
        <w:rPr>
          <w:rFonts w:ascii="Arial" w:cs="Arial" w:eastAsia="Arial" w:hAnsi="Arial"/>
          <w:b w:val="false"/>
          <w:bCs w:val="false"/>
          <w:color w:val="333333"/>
          <w:sz w:val="22"/>
          <w:szCs w:val="22"/>
        </w:rPr>
        <w:t xml:space="preserve">Tier 2 — Flask Server (Backend): Acts as an orchestration layer. Routes /speech-to-text and /process-message receive requests, call the appropriate worker functions, and return JSON responses.</w:t>
      </w:r>
    </w:p>
    <w:p>
      <w:pPr>
        <w:pStyle w:val="ListParagraph"/>
        <w:numPr>
          <w:ilvl w:val="0"/>
          <w:numId w:val="2"/>
        </w:numPr>
        <w:spacing w:after="60" w:before="60" w:line="300"/>
      </w:pPr>
      <w:r>
        <w:rPr>
          <w:rFonts w:ascii="Arial" w:cs="Arial" w:eastAsia="Arial" w:hAnsi="Arial"/>
          <w:b w:val="false"/>
          <w:bCs w:val="false"/>
          <w:color w:val="333333"/>
          <w:sz w:val="22"/>
          <w:szCs w:val="22"/>
        </w:rPr>
        <w:t xml:space="preserve">Tier 3 — AI Services: Three independent HTTP APIs — Watsonx LLM, Watson STT, and Watson TTS — each accessed via the Python requests library.</w:t>
      </w:r>
    </w:p>
    <w:p>
      <w:pPr>
        <w:spacing w:after="160" w:before="0"/>
      </w:pPr>
      <w:r>
        <w:t xml:space="preserve"/>
      </w:r>
    </w:p>
    <w:p>
      <w:pPr>
        <w:pStyle w:val="Heading2"/>
        <w:spacing w:after="100" w:before="280"/>
      </w:pPr>
      <w:r>
        <w:rPr>
          <w:rFonts w:ascii="Arial" w:cs="Arial" w:eastAsia="Arial" w:hAnsi="Arial"/>
          <w:b/>
          <w:bCs/>
          <w:color w:val="2E75B6"/>
          <w:sz w:val="28"/>
          <w:szCs w:val="28"/>
        </w:rPr>
        <w:t xml:space="preserve">3.3 API Endpoints (Flask)</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200"/>
        <w:gridCol w:w="4360"/>
      </w:tblGrid>
      <w:tr>
        <w:trPr>
          <w:tblHeader/>
        </w:trPr>
        <w:tc>
          <w:tcPr>
            <w:tcW w:type="dxa" w:w="16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Route</w:t>
            </w:r>
          </w:p>
        </w:tc>
        <w:tc>
          <w:tcPr>
            <w:tcW w:type="dxa" w:w="12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Method</w:t>
            </w:r>
          </w:p>
        </w:tc>
        <w:tc>
          <w:tcPr>
            <w:tcW w:type="dxa" w:w="22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Input</w:t>
            </w:r>
          </w:p>
        </w:tc>
        <w:tc>
          <w:tcPr>
            <w:tcW w:type="dxa" w:w="436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Output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Renders index.html (frontend SPA)</w:t>
            </w:r>
          </w:p>
        </w:tc>
      </w:tr>
      <w:tr>
        <w:tc>
          <w:tcPr>
            <w:tcW w:type="dxa" w:w="16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bCs/>
                <w:color w:val="1A1A1A"/>
                <w:sz w:val="20"/>
                <w:szCs w:val="20"/>
              </w:rPr>
              <w:t xml:space="preserve">/speech-to-text</w:t>
            </w:r>
          </w:p>
        </w:tc>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w:t>
            </w:r>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1A"/>
                <w:sz w:val="20"/>
                <w:szCs w:val="20"/>
              </w:rPr>
              <w:t xml:space="preserve">Binary audio data</w:t>
            </w:r>
          </w:p>
        </w:tc>
        <w:tc>
          <w:tcPr>
            <w:tcW w:type="dxa" w:w="43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1A"/>
                <w:sz w:val="20"/>
                <w:szCs w:val="20"/>
              </w:rPr>
              <w:t xml:space="preserve">JSON: { text: "&lt;transcript&gt;" }</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/process-message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JSON: userMessage, voice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JSON: { watsonxResponseText, watsonxResponseSpeech (base64) }</w:t>
            </w:r>
          </w:p>
        </w:tc>
      </w:tr>
    </w:tbl>
    <w:p>
      <w:pPr>
        <w:spacing w:after="320" w:before="0"/>
      </w:pPr>
      <w:r>
        <w:t xml:space="preserve"/>
      </w:r>
    </w:p>
    <w:p>
      <w:pPr>
        <w:pStyle w:val="Heading2"/>
        <w:spacing w:after="100" w:before="280"/>
      </w:pPr>
      <w:r>
        <w:rPr>
          <w:rFonts w:ascii="Arial" w:cs="Arial" w:eastAsia="Arial" w:hAnsi="Arial"/>
          <w:b/>
          <w:bCs/>
          <w:color w:val="2E75B6"/>
          <w:sz w:val="28"/>
          <w:szCs w:val="28"/>
        </w:rPr>
        <w:t xml:space="preserve">3.4 Key Worker Functions (worker.py)</w:t>
      </w:r>
    </w:p>
    <w:p>
      <w:pPr>
        <w:pStyle w:val="ListParagraph"/>
        <w:numPr>
          <w:ilvl w:val="0"/>
          <w:numId w:val="2"/>
        </w:numPr>
        <w:spacing w:after="60" w:before="60" w:line="300"/>
      </w:pPr>
      <w:r>
        <w:rPr>
          <w:rFonts w:ascii="Arial" w:cs="Arial" w:eastAsia="Arial" w:hAnsi="Arial"/>
          <w:b w:val="false"/>
          <w:bCs w:val="false"/>
          <w:color w:val="333333"/>
          <w:sz w:val="22"/>
          <w:szCs w:val="22"/>
        </w:rPr>
        <w:t xml:space="preserve">speech_to_text(audio_binary) — POSTs raw audio to the Watson STT /recognize endpoint using the en-US_Multimedia model; returns the transcript string.</w:t>
      </w:r>
    </w:p>
    <w:p>
      <w:pPr>
        <w:pStyle w:val="ListParagraph"/>
        <w:numPr>
          <w:ilvl w:val="0"/>
          <w:numId w:val="2"/>
        </w:numPr>
        <w:spacing w:after="60" w:before="60" w:line="300"/>
      </w:pPr>
      <w:r>
        <w:rPr>
          <w:rFonts w:ascii="Arial" w:cs="Arial" w:eastAsia="Arial" w:hAnsi="Arial"/>
          <w:b w:val="false"/>
          <w:bCs w:val="false"/>
          <w:color w:val="333333"/>
          <w:sz w:val="22"/>
          <w:szCs w:val="22"/>
        </w:rPr>
        <w:t xml:space="preserve">watsonx_process_message(user_message) — Constructs a strict translation prompt (English → Spanish by default) and calls model.generate_text() via the ibm_watson_machine_learning SDK; returns stripped response text.</w:t>
      </w:r>
    </w:p>
    <w:p>
      <w:pPr>
        <w:pStyle w:val="ListParagraph"/>
        <w:numPr>
          <w:ilvl w:val="0"/>
          <w:numId w:val="2"/>
        </w:numPr>
        <w:spacing w:after="60" w:before="60" w:line="300"/>
      </w:pPr>
      <w:r>
        <w:rPr>
          <w:rFonts w:ascii="Arial" w:cs="Arial" w:eastAsia="Arial" w:hAnsi="Arial"/>
          <w:b w:val="false"/>
          <w:bCs w:val="false"/>
          <w:color w:val="333333"/>
          <w:sz w:val="22"/>
          <w:szCs w:val="22"/>
        </w:rPr>
        <w:t xml:space="preserve">text_to_speech(text, voice) — POSTs JSON text to the Watson TTS /synthesize endpoint with Accept: audio/wav; returns binary audio content.</w:t>
      </w:r>
    </w:p>
    <w:p>
      <w:pPr>
        <w:spacing w:after="160" w:before="0"/>
      </w:pPr>
      <w:r>
        <w:t xml:space="preserve"/>
      </w:r>
    </w:p>
    <w:p>
      <w:pPr>
        <w:pStyle w:val="Heading2"/>
        <w:spacing w:after="100" w:before="280"/>
      </w:pPr>
      <w:r>
        <w:rPr>
          <w:rFonts w:ascii="Arial" w:cs="Arial" w:eastAsia="Arial" w:hAnsi="Arial"/>
          <w:b/>
          <w:bCs/>
          <w:color w:val="2E75B6"/>
          <w:sz w:val="28"/>
          <w:szCs w:val="28"/>
        </w:rPr>
        <w:t xml:space="preserve">3.5 Frontend Files</w:t>
      </w:r>
    </w:p>
    <w:p>
      <w:pPr>
        <w:pStyle w:val="ListParagraph"/>
        <w:numPr>
          <w:ilvl w:val="0"/>
          <w:numId w:val="2"/>
        </w:numPr>
        <w:spacing w:after="60" w:before="60" w:line="300"/>
      </w:pPr>
      <w:r>
        <w:rPr>
          <w:rFonts w:ascii="Arial" w:cs="Arial" w:eastAsia="Arial" w:hAnsi="Arial"/>
          <w:b w:val="false"/>
          <w:bCs w:val="false"/>
          <w:color w:val="333333"/>
          <w:sz w:val="22"/>
          <w:szCs w:val="22"/>
        </w:rPr>
        <w:t xml:space="preserve">index.html — Page structure; imports Bootstrap, Font Awesome, jQuery, style.css, script.js.</w:t>
      </w:r>
    </w:p>
    <w:p>
      <w:pPr>
        <w:pStyle w:val="ListParagraph"/>
        <w:numPr>
          <w:ilvl w:val="0"/>
          <w:numId w:val="2"/>
        </w:numPr>
        <w:spacing w:after="60" w:before="60" w:line="300"/>
      </w:pPr>
      <w:r>
        <w:rPr>
          <w:rFonts w:ascii="Arial" w:cs="Arial" w:eastAsia="Arial" w:hAnsi="Arial"/>
          <w:b w:val="false"/>
          <w:bCs w:val="false"/>
          <w:color w:val="333333"/>
          <w:sz w:val="22"/>
          <w:szCs w:val="22"/>
        </w:rPr>
        <w:t xml:space="preserve">style.css — Custom styling; light/dark mode toggle; CSS keyframe loading animation.</w:t>
      </w:r>
    </w:p>
    <w:p>
      <w:pPr>
        <w:pStyle w:val="ListParagraph"/>
        <w:numPr>
          <w:ilvl w:val="0"/>
          <w:numId w:val="2"/>
        </w:numPr>
        <w:spacing w:after="60" w:before="60" w:line="300"/>
      </w:pPr>
      <w:r>
        <w:rPr>
          <w:rFonts w:ascii="Arial" w:cs="Arial" w:eastAsia="Arial" w:hAnsi="Arial"/>
          <w:b w:val="false"/>
          <w:bCs w:val="false"/>
          <w:color w:val="333333"/>
          <w:sz w:val="22"/>
          <w:szCs w:val="22"/>
        </w:rPr>
        <w:t xml:space="preserve">script.js — All client-side logic: message sending, audio recording via MediaRecorder API, response rendering, voice selection, theme switching.</w:t>
      </w:r>
    </w:p>
    <w:p>
      <w:pPr>
        <w:spacing w:after="160" w:before="0"/>
      </w:pPr>
      <w:r>
        <w:t xml:space="preserve"/>
      </w:r>
    </w:p>
    <w:p>
      <w:pPr>
        <w:pStyle w:val="Heading2"/>
        <w:spacing w:after="100" w:before="280"/>
      </w:pPr>
      <w:r>
        <w:rPr>
          <w:rFonts w:ascii="Arial" w:cs="Arial" w:eastAsia="Arial" w:hAnsi="Arial"/>
          <w:b/>
          <w:bCs/>
          <w:color w:val="2E75B6"/>
          <w:sz w:val="28"/>
          <w:szCs w:val="28"/>
        </w:rPr>
        <w:t xml:space="preserve">3.6 Configuration &amp; Credentials</w:t>
      </w:r>
    </w:p>
    <w:p>
      <w:pPr>
        <w:pStyle w:val="ListParagraph"/>
        <w:numPr>
          <w:ilvl w:val="0"/>
          <w:numId w:val="2"/>
        </w:numPr>
        <w:spacing w:after="60" w:before="60" w:line="300"/>
      </w:pPr>
      <w:r>
        <w:rPr>
          <w:rFonts w:ascii="Arial" w:cs="Arial" w:eastAsia="Arial" w:hAnsi="Arial"/>
          <w:b w:val="false"/>
          <w:bCs w:val="false"/>
          <w:color w:val="333333"/>
          <w:sz w:val="22"/>
          <w:szCs w:val="22"/>
        </w:rPr>
        <w:t xml:space="preserve">In the CloudIDE environment, set project_id="skills-network" — no personal API key required.</w:t>
      </w:r>
    </w:p>
    <w:p>
      <w:pPr>
        <w:pStyle w:val="ListParagraph"/>
        <w:numPr>
          <w:ilvl w:val="0"/>
          <w:numId w:val="2"/>
        </w:numPr>
        <w:spacing w:after="60" w:before="60" w:line="300"/>
      </w:pPr>
      <w:r>
        <w:rPr>
          <w:rFonts w:ascii="Arial" w:cs="Arial" w:eastAsia="Arial" w:hAnsi="Arial"/>
          <w:b w:val="false"/>
          <w:bCs w:val="false"/>
          <w:color w:val="333333"/>
          <w:sz w:val="22"/>
          <w:szCs w:val="22"/>
        </w:rPr>
        <w:t xml:space="preserve">For local or Code Engine deployment, set API_KEY = your Watsonx API key and PROJECT_ID = your project ID in worker.py before deploying.</w:t>
      </w:r>
    </w:p>
    <w:p>
      <w:pPr>
        <w:pStyle w:val="ListParagraph"/>
        <w:numPr>
          <w:ilvl w:val="0"/>
          <w:numId w:val="2"/>
        </w:numPr>
        <w:spacing w:after="60" w:before="60" w:line="300"/>
      </w:pPr>
      <w:r>
        <w:rPr>
          <w:rFonts w:ascii="Arial" w:cs="Arial" w:eastAsia="Arial" w:hAnsi="Arial"/>
          <w:b w:val="false"/>
          <w:bCs w:val="false"/>
          <w:color w:val="333333"/>
          <w:sz w:val="22"/>
          <w:szCs w:val="22"/>
        </w:rPr>
        <w:t xml:space="preserve">The Watson STT base URL is https://sn-watson-stt.labs.skills.network (CloudIDE); replace with your deployed Code Engine URL for production.</w:t>
      </w:r>
    </w:p>
    <w:p>
      <w:pPr>
        <w:pStyle w:val="ListParagraph"/>
        <w:numPr>
          <w:ilvl w:val="0"/>
          <w:numId w:val="2"/>
        </w:numPr>
        <w:spacing w:after="60" w:before="60" w:line="300"/>
      </w:pPr>
      <w:r>
        <w:rPr>
          <w:rFonts w:ascii="Arial" w:cs="Arial" w:eastAsia="Arial" w:hAnsi="Arial"/>
          <w:b w:val="false"/>
          <w:bCs w:val="false"/>
          <w:color w:val="333333"/>
          <w:sz w:val="22"/>
          <w:szCs w:val="22"/>
        </w:rPr>
        <w:t xml:space="preserve">The Watson TTS base URL is https://sn-watson-tts.labs.skills.network (CloudIDE); similarly replaced on deployment.</w:t>
      </w:r>
    </w:p>
    <w:p>
      <w:pPr>
        <w:spacing w:after="160" w:before="0"/>
      </w:pPr>
      <w:r>
        <w:t xml:space="preserve"/>
      </w:r>
    </w:p>
    <w:p>
      <w:pPr>
        <w:pStyle w:val="Heading2"/>
        <w:spacing w:after="100" w:before="280"/>
      </w:pPr>
      <w:r>
        <w:rPr>
          <w:rFonts w:ascii="Arial" w:cs="Arial" w:eastAsia="Arial" w:hAnsi="Arial"/>
          <w:b/>
          <w:bCs/>
          <w:color w:val="2E75B6"/>
          <w:sz w:val="28"/>
          <w:szCs w:val="28"/>
        </w:rPr>
        <w:t xml:space="preserve">3.7 LLM Parameters</w:t>
      </w:r>
    </w:p>
    <w:p>
      <w:pPr>
        <w:pStyle w:val="ListParagraph"/>
        <w:numPr>
          <w:ilvl w:val="0"/>
          <w:numId w:val="2"/>
        </w:numPr>
        <w:spacing w:after="60" w:before="60" w:line="300"/>
      </w:pPr>
      <w:r>
        <w:rPr>
          <w:rFonts w:ascii="Arial" w:cs="Arial" w:eastAsia="Arial" w:hAnsi="Arial"/>
          <w:b w:val="false"/>
          <w:bCs w:val="false"/>
          <w:color w:val="333333"/>
          <w:sz w:val="22"/>
          <w:szCs w:val="22"/>
        </w:rPr>
        <w:t xml:space="preserve">Decoding method: GREEDY</w:t>
      </w:r>
    </w:p>
    <w:p>
      <w:pPr>
        <w:pStyle w:val="ListParagraph"/>
        <w:numPr>
          <w:ilvl w:val="0"/>
          <w:numId w:val="2"/>
        </w:numPr>
        <w:spacing w:after="60" w:before="60" w:line="300"/>
      </w:pPr>
      <w:r>
        <w:rPr>
          <w:rFonts w:ascii="Arial" w:cs="Arial" w:eastAsia="Arial" w:hAnsi="Arial"/>
          <w:b w:val="false"/>
          <w:bCs w:val="false"/>
          <w:color w:val="333333"/>
          <w:sz w:val="22"/>
          <w:szCs w:val="22"/>
        </w:rPr>
        <w:t xml:space="preserve">Min new tokens: 1</w:t>
      </w:r>
    </w:p>
    <w:p>
      <w:pPr>
        <w:pStyle w:val="ListParagraph"/>
        <w:numPr>
          <w:ilvl w:val="0"/>
          <w:numId w:val="2"/>
        </w:numPr>
        <w:spacing w:after="60" w:before="60" w:line="300"/>
      </w:pPr>
      <w:r>
        <w:rPr>
          <w:rFonts w:ascii="Arial" w:cs="Arial" w:eastAsia="Arial" w:hAnsi="Arial"/>
          <w:b w:val="false"/>
          <w:bCs w:val="false"/>
          <w:color w:val="333333"/>
          <w:sz w:val="22"/>
          <w:szCs w:val="22"/>
        </w:rPr>
        <w:t xml:space="preserve">Max new tokens: 1024</w:t>
      </w:r>
    </w:p>
    <w:p>
      <w:pPr>
        <w:pStyle w:val="ListParagraph"/>
        <w:numPr>
          <w:ilvl w:val="0"/>
          <w:numId w:val="2"/>
        </w:numPr>
        <w:spacing w:after="60" w:before="60" w:line="300"/>
      </w:pPr>
      <w:r>
        <w:rPr>
          <w:rFonts w:ascii="Arial" w:cs="Arial" w:eastAsia="Arial" w:hAnsi="Arial"/>
          <w:b w:val="false"/>
          <w:bCs w:val="false"/>
          <w:color w:val="333333"/>
          <w:sz w:val="22"/>
          <w:szCs w:val="22"/>
        </w:rPr>
        <w:t xml:space="preserve">Prompt format: Strictly instructs the model to translate the English input to Spanish and return only the translation, with no explanations or formatting.</w:t>
      </w:r>
    </w:p>
    <w:p>
      <w:pPr>
        <w:spacing w:after="320" w:before="0"/>
      </w:pPr>
      <w:r>
        <w:t xml:space="preserve"/>
      </w:r>
    </w:p>
    <w:p>
      <w:pPr>
        <w:pStyle w:val="Heading1"/>
        <w:pBdr>
          <w:top w:val="none" w:color="FFFFFF" w:sz="0"/>
          <w:left w:val="none" w:color="FFFFFF" w:sz="0"/>
          <w:bottom w:val="single" w:color="2E75B6" w:sz="8"/>
          <w:right w:val="none" w:color="FFFFFF" w:sz="0"/>
        </w:pBdr>
        <w:spacing w:after="120" w:before="360"/>
      </w:pPr>
      <w:r>
        <w:rPr>
          <w:rFonts w:ascii="Arial" w:cs="Arial" w:eastAsia="Arial" w:hAnsi="Arial"/>
          <w:b/>
          <w:bCs/>
          <w:color w:val="1B3A6B"/>
          <w:sz w:val="36"/>
          <w:szCs w:val="36"/>
        </w:rPr>
        <w:t xml:space="preserve">4. Milestones</w:t>
      </w:r>
    </w:p>
    <w:p>
      <w:pPr>
        <w:spacing w:after="120" w:before="80" w:line="320"/>
      </w:pPr>
      <w:r>
        <w:rPr>
          <w:rFonts w:ascii="Arial" w:cs="Arial" w:eastAsia="Arial" w:hAnsi="Arial"/>
          <w:color w:val="333333"/>
          <w:sz w:val="22"/>
          <w:szCs w:val="22"/>
        </w:rPr>
        <w:t xml:space="preserve">The project is structured as seven sequential development steps, each building on the last:</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4260"/>
        <w:gridCol w:w="2100"/>
      </w:tblGrid>
      <w:tr>
        <w:trPr>
          <w:tblHeader/>
        </w:trPr>
        <w:tc>
          <w:tcPr>
            <w:tcW w:type="dxa" w:w="70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Step</w:t>
            </w:r>
          </w:p>
        </w:tc>
        <w:tc>
          <w:tcPr>
            <w:tcW w:type="dxa" w:w="230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Milestone</w:t>
            </w:r>
          </w:p>
        </w:tc>
        <w:tc>
          <w:tcPr>
            <w:tcW w:type="dxa" w:w="426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Activities</w:t>
            </w:r>
          </w:p>
        </w:tc>
        <w:tc>
          <w:tcPr>
            <w:tcW w:type="dxa" w:w="210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Output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Interface Understanding</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Clone repo, set up Python venv, install requirements, review HTML/CSS/JS structure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Running local Flask server; UI visible in browser (returns null)</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2</w:t>
            </w:r>
          </w:p>
        </w:tc>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Server Setup</w:t>
            </w:r>
          </w:p>
        </w:tc>
        <w:tc>
          <w:tcPr>
            <w:tcW w:type="dxa" w:w="42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Replace placeholder Flask route; wire up index() to render_template; run server</w:t>
            </w:r>
          </w:p>
        </w:tc>
        <w:tc>
          <w:tcPr>
            <w:tcW w:type="dxa" w:w="2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Server live on localhost:8000; frontend served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Watsonx LLM Integration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Import ibm_watson_machine_learning; configure model &amp; credentials; implement watsonx_process_message()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LLM responds to text prompts; translation prompt crafted</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4</w:t>
            </w:r>
          </w:p>
        </w:tc>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Speech-to-Text (STT)</w:t>
            </w:r>
          </w:p>
        </w:tc>
        <w:tc>
          <w:tcPr>
            <w:tcW w:type="dxa" w:w="42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Implement speech_to_text(); POST audio binary to Watson STT /recognize; parse JSON transcript</w:t>
            </w:r>
          </w:p>
        </w:tc>
        <w:tc>
          <w:tcPr>
            <w:tcW w:type="dxa" w:w="2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Voice input transcribed to English text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Text-to-Speech (TTS)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Implement text_to_speech(); POST translated text to Watson TTS /synthesize; return WAV binary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Translated text spoken aloud in selected voice</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6</w:t>
            </w:r>
          </w:p>
        </w:tc>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Flask Routes</w:t>
            </w:r>
          </w:p>
        </w:tc>
        <w:tc>
          <w:tcPr>
            <w:tcW w:type="dxa" w:w="42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Wire speech_to_text_route and process_message_route; encode audio as base64; return JSON to frontend</w:t>
            </w:r>
          </w:p>
        </w:tc>
        <w:tc>
          <w:tcPr>
            <w:tcW w:type="dxa" w:w="2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Full end-to-end pipeline working in browser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7</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Final Testing</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Test typed and spoken inputs; switch voice to Spanish; verify dark/light mode; confirm audio playback</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Fully functional Babel Fish translator</w:t>
            </w:r>
          </w:p>
        </w:tc>
      </w:tr>
    </w:tbl>
    <w:p>
      <w:pPr>
        <w:spacing w:after="320" w:before="0"/>
      </w:pPr>
      <w:r>
        <w:t xml:space="preserve"/>
      </w:r>
    </w:p>
    <w:p>
      <w:pPr>
        <w:pStyle w:val="Heading2"/>
        <w:spacing w:after="100" w:before="280"/>
      </w:pPr>
      <w:r>
        <w:rPr>
          <w:rFonts w:ascii="Arial" w:cs="Arial" w:eastAsia="Arial" w:hAnsi="Arial"/>
          <w:b/>
          <w:bCs/>
          <w:color w:val="2E75B6"/>
          <w:sz w:val="28"/>
          <w:szCs w:val="28"/>
        </w:rPr>
        <w:t xml:space="preserve">4.1 Optional Milestone — Deployment (Step 9)</w:t>
      </w:r>
    </w:p>
    <w:p>
      <w:pPr>
        <w:spacing w:after="120" w:before="80" w:line="320"/>
      </w:pPr>
      <w:r>
        <w:rPr>
          <w:rFonts w:ascii="Arial" w:cs="Arial" w:eastAsia="Arial" w:hAnsi="Arial"/>
          <w:color w:val="333333"/>
          <w:sz w:val="22"/>
          <w:szCs w:val="22"/>
        </w:rPr>
        <w:t xml:space="preserve">For public hosting on IBM Cloud Code Engine, the following sub-milestones apply:</w:t>
      </w:r>
    </w:p>
    <w:p>
      <w:pPr>
        <w:pStyle w:val="ListParagraph"/>
        <w:numPr>
          <w:ilvl w:val="0"/>
          <w:numId w:val="2"/>
        </w:numPr>
        <w:spacing w:after="60" w:before="60" w:line="300"/>
      </w:pPr>
      <w:r>
        <w:rPr>
          <w:rFonts w:ascii="Arial" w:cs="Arial" w:eastAsia="Arial" w:hAnsi="Arial"/>
          <w:b w:val="false"/>
          <w:bCs w:val="false"/>
          <w:color w:val="333333"/>
          <w:sz w:val="22"/>
          <w:szCs w:val="22"/>
        </w:rPr>
        <w:t xml:space="preserve">Part 1 — Skills Network Code Engine: Deploy STT, TTS, and the Flask app as three separate Code Engine applications. Suitable for short-lived testing (project deleted after a few days).</w:t>
      </w:r>
    </w:p>
    <w:p>
      <w:pPr>
        <w:pStyle w:val="ListParagraph"/>
        <w:numPr>
          <w:ilvl w:val="0"/>
          <w:numId w:val="2"/>
        </w:numPr>
        <w:spacing w:after="60" w:before="60" w:line="300"/>
      </w:pPr>
      <w:r>
        <w:rPr>
          <w:rFonts w:ascii="Arial" w:cs="Arial" w:eastAsia="Arial" w:hAnsi="Arial"/>
          <w:b w:val="false"/>
          <w:bCs w:val="false"/>
          <w:color w:val="333333"/>
          <w:sz w:val="22"/>
          <w:szCs w:val="22"/>
        </w:rPr>
        <w:t xml:space="preserve">Part 2 — Own IBM Cloud Account: Log into IBM Cloud, obtain IBM Entitlement Key, build Docker images for STT and TTS locally, push to IBM Container Registry (ICR), create a Code Engine project, and deploy all three services. Requires a credit card on the IBM Cloud account (free tier thresholds apply).</w:t>
      </w:r>
    </w:p>
    <w:p>
      <w:pPr>
        <w:spacing w:after="320" w:before="0"/>
      </w:pPr>
      <w:r>
        <w:t xml:space="preserve"/>
      </w:r>
    </w:p>
    <w:p>
      <w:pPr>
        <w:pStyle w:val="Heading1"/>
        <w:pBdr>
          <w:top w:val="none" w:color="FFFFFF" w:sz="0"/>
          <w:left w:val="none" w:color="FFFFFF" w:sz="0"/>
          <w:bottom w:val="single" w:color="2E75B6" w:sz="8"/>
          <w:right w:val="none" w:color="FFFFFF" w:sz="0"/>
        </w:pBdr>
        <w:spacing w:after="120" w:before="360"/>
      </w:pPr>
      <w:r>
        <w:rPr>
          <w:rFonts w:ascii="Arial" w:cs="Arial" w:eastAsia="Arial" w:hAnsi="Arial"/>
          <w:b/>
          <w:bCs/>
          <w:color w:val="1B3A6B"/>
          <w:sz w:val="36"/>
          <w:szCs w:val="36"/>
        </w:rPr>
        <w:t xml:space="preserve">5. Conclusion</w:t>
      </w:r>
    </w:p>
    <w:p>
      <w:pPr>
        <w:spacing w:after="120" w:before="80" w:line="320"/>
      </w:pPr>
      <w:r>
        <w:rPr>
          <w:rFonts w:ascii="Arial" w:cs="Arial" w:eastAsia="Arial" w:hAnsi="Arial"/>
          <w:color w:val="333333"/>
          <w:sz w:val="22"/>
          <w:szCs w:val="22"/>
        </w:rPr>
        <w:t xml:space="preserve">The Babel Fish with LLM STT TTS project successfully demonstrates how to build a practical, voice-driven AI translation assistant by composing three complementary IBM AI services behind a lightweight Flask API. Within a single 90-minute session, a developer with basic Python knowledge can progress from a blank project skeleton to a live, interactive multilingual voice application.</w:t>
      </w:r>
    </w:p>
    <w:p>
      <w:pPr>
        <w:spacing w:after="160" w:before="0"/>
      </w:pPr>
      <w:r>
        <w:t xml:space="preserve"/>
      </w:r>
    </w:p>
    <w:p>
      <w:pPr>
        <w:pStyle w:val="Heading2"/>
        <w:spacing w:after="100" w:before="280"/>
      </w:pPr>
      <w:r>
        <w:rPr>
          <w:rFonts w:ascii="Arial" w:cs="Arial" w:eastAsia="Arial" w:hAnsi="Arial"/>
          <w:b/>
          <w:bCs/>
          <w:color w:val="2E75B6"/>
          <w:sz w:val="28"/>
          <w:szCs w:val="28"/>
        </w:rPr>
        <w:t xml:space="preserve">5.1 Key Outcomes</w:t>
      </w:r>
    </w:p>
    <w:p>
      <w:pPr>
        <w:pStyle w:val="ListParagraph"/>
        <w:numPr>
          <w:ilvl w:val="0"/>
          <w:numId w:val="2"/>
        </w:numPr>
        <w:spacing w:after="60" w:before="60" w:line="300"/>
      </w:pPr>
      <w:r>
        <w:rPr>
          <w:rFonts w:ascii="Arial" w:cs="Arial" w:eastAsia="Arial" w:hAnsi="Arial"/>
          <w:b w:val="false"/>
          <w:bCs w:val="false"/>
          <w:color w:val="333333"/>
          <w:sz w:val="22"/>
          <w:szCs w:val="22"/>
        </w:rPr>
        <w:t xml:space="preserve">A working full-stack web application that accepts spoken or typed English and returns spoken translated output (Spanish by default).</w:t>
      </w:r>
    </w:p>
    <w:p>
      <w:pPr>
        <w:pStyle w:val="ListParagraph"/>
        <w:numPr>
          <w:ilvl w:val="0"/>
          <w:numId w:val="2"/>
        </w:numPr>
        <w:spacing w:after="60" w:before="60" w:line="300"/>
      </w:pPr>
      <w:r>
        <w:rPr>
          <w:rFonts w:ascii="Arial" w:cs="Arial" w:eastAsia="Arial" w:hAnsi="Arial"/>
          <w:b w:val="false"/>
          <w:bCs w:val="false"/>
          <w:color w:val="333333"/>
          <w:sz w:val="22"/>
          <w:szCs w:val="22"/>
        </w:rPr>
        <w:t xml:space="preserve">Hands-on experience with the IBM Watsonx platform, the ibm_watson_machine_learning Python SDK, and the Watson Speech Libraries for Embed REST APIs.</w:t>
      </w:r>
    </w:p>
    <w:p>
      <w:pPr>
        <w:pStyle w:val="ListParagraph"/>
        <w:numPr>
          <w:ilvl w:val="0"/>
          <w:numId w:val="2"/>
        </w:numPr>
        <w:spacing w:after="60" w:before="60" w:line="300"/>
      </w:pPr>
      <w:r>
        <w:rPr>
          <w:rFonts w:ascii="Arial" w:cs="Arial" w:eastAsia="Arial" w:hAnsi="Arial"/>
          <w:b w:val="false"/>
          <w:bCs w:val="false"/>
          <w:color w:val="333333"/>
          <w:sz w:val="22"/>
          <w:szCs w:val="22"/>
        </w:rPr>
        <w:t xml:space="preserve">A solid understanding of prompt engineering — specifically how small changes to the translation prompt can redirect the same LLM pipeline toward entirely different assistant personas (therapist, mechanic, storyteller, professor).</w:t>
      </w:r>
    </w:p>
    <w:p>
      <w:pPr>
        <w:pStyle w:val="ListParagraph"/>
        <w:numPr>
          <w:ilvl w:val="0"/>
          <w:numId w:val="2"/>
        </w:numPr>
        <w:spacing w:after="60" w:before="60" w:line="300"/>
      </w:pPr>
      <w:r>
        <w:rPr>
          <w:rFonts w:ascii="Arial" w:cs="Arial" w:eastAsia="Arial" w:hAnsi="Arial"/>
          <w:b w:val="false"/>
          <w:bCs w:val="false"/>
          <w:color w:val="333333"/>
          <w:sz w:val="22"/>
          <w:szCs w:val="22"/>
        </w:rPr>
        <w:t xml:space="preserve">Practical knowledge of base64 audio encoding, Flask route design, CORS policy, and frontend–backend JSON communication.</w:t>
      </w:r>
    </w:p>
    <w:p>
      <w:pPr>
        <w:spacing w:after="160" w:before="0"/>
      </w:pPr>
      <w:r>
        <w:t xml:space="preserve"/>
      </w:r>
    </w:p>
    <w:p>
      <w:pPr>
        <w:pStyle w:val="Heading2"/>
        <w:spacing w:after="100" w:before="280"/>
      </w:pPr>
      <w:r>
        <w:rPr>
          <w:rFonts w:ascii="Arial" w:cs="Arial" w:eastAsia="Arial" w:hAnsi="Arial"/>
          <w:b/>
          <w:bCs/>
          <w:color w:val="2E75B6"/>
          <w:sz w:val="28"/>
          <w:szCs w:val="28"/>
        </w:rPr>
        <w:t xml:space="preserve">5.2 Extensibility</w:t>
      </w:r>
    </w:p>
    <w:p>
      <w:pPr>
        <w:spacing w:after="120" w:before="80" w:line="320"/>
      </w:pPr>
      <w:r>
        <w:rPr>
          <w:rFonts w:ascii="Arial" w:cs="Arial" w:eastAsia="Arial" w:hAnsi="Arial"/>
          <w:color w:val="333333"/>
          <w:sz w:val="22"/>
          <w:szCs w:val="22"/>
        </w:rPr>
        <w:t xml:space="preserve">The architecture is intentionally generic. The prompt in watsonx_process_message is the sole variable distinguishing this translator from any other conversational assistant. Replacing the Spanish translation prompt with a therapeutic listening prompt, a car-diagnostics prompt, or a storytelling prompt — and updating the TTS voice accordingly — yields a completely different product without changing a single line of infrastructure code.</w:t>
      </w:r>
    </w:p>
    <w:p>
      <w:pPr>
        <w:spacing w:after="160" w:before="0"/>
      </w:pPr>
      <w:r>
        <w:t xml:space="preserve"/>
      </w:r>
    </w:p>
    <w:p>
      <w:pPr>
        <w:pStyle w:val="Heading2"/>
        <w:spacing w:after="100" w:before="280"/>
      </w:pPr>
      <w:r>
        <w:rPr>
          <w:rFonts w:ascii="Arial" w:cs="Arial" w:eastAsia="Arial" w:hAnsi="Arial"/>
          <w:b/>
          <w:bCs/>
          <w:color w:val="2E75B6"/>
          <w:sz w:val="28"/>
          <w:szCs w:val="28"/>
        </w:rPr>
        <w:t xml:space="preserve">5.3 Recommendations for Next Steps</w:t>
      </w:r>
    </w:p>
    <w:p>
      <w:pPr>
        <w:pStyle w:val="ListParagraph"/>
        <w:numPr>
          <w:ilvl w:val="0"/>
          <w:numId w:val="2"/>
        </w:numPr>
        <w:spacing w:after="60" w:before="60" w:line="300"/>
      </w:pPr>
      <w:r>
        <w:rPr>
          <w:rFonts w:ascii="Arial" w:cs="Arial" w:eastAsia="Arial" w:hAnsi="Arial"/>
          <w:b w:val="false"/>
          <w:bCs w:val="false"/>
          <w:color w:val="333333"/>
          <w:sz w:val="22"/>
          <w:szCs w:val="22"/>
        </w:rPr>
        <w:t xml:space="preserve">Language selection: Expose a language dropdown in the frontend that dynamically rewrites the translation prompt, enabling on-the-fly switching between Spanish, French, Mandarin, and other supported languages.</w:t>
      </w:r>
    </w:p>
    <w:p>
      <w:pPr>
        <w:pStyle w:val="ListParagraph"/>
        <w:numPr>
          <w:ilvl w:val="0"/>
          <w:numId w:val="2"/>
        </w:numPr>
        <w:spacing w:after="60" w:before="60" w:line="300"/>
      </w:pPr>
      <w:r>
        <w:rPr>
          <w:rFonts w:ascii="Arial" w:cs="Arial" w:eastAsia="Arial" w:hAnsi="Arial"/>
          <w:b w:val="false"/>
          <w:bCs w:val="false"/>
          <w:color w:val="333333"/>
          <w:sz w:val="22"/>
          <w:szCs w:val="22"/>
        </w:rPr>
        <w:t xml:space="preserve">Conversation memory: Maintain a message history array passed to Watsonx in each turn to support multi-turn translation dialogues.</w:t>
      </w:r>
    </w:p>
    <w:p>
      <w:pPr>
        <w:pStyle w:val="ListParagraph"/>
        <w:numPr>
          <w:ilvl w:val="0"/>
          <w:numId w:val="2"/>
        </w:numPr>
        <w:spacing w:after="60" w:before="60" w:line="300"/>
      </w:pPr>
      <w:r>
        <w:rPr>
          <w:rFonts w:ascii="Arial" w:cs="Arial" w:eastAsia="Arial" w:hAnsi="Arial"/>
          <w:b w:val="false"/>
          <w:bCs w:val="false"/>
          <w:color w:val="333333"/>
          <w:sz w:val="22"/>
          <w:szCs w:val="22"/>
        </w:rPr>
        <w:t xml:space="preserve">Production deployment: Use IBM Cloud Code Engine with autoscaling (--max-scale &gt; 1), environment-variable secrets management, and a custom domain for a shareable public URL.</w:t>
      </w:r>
    </w:p>
    <w:p>
      <w:pPr>
        <w:pStyle w:val="ListParagraph"/>
        <w:numPr>
          <w:ilvl w:val="0"/>
          <w:numId w:val="2"/>
        </w:numPr>
        <w:spacing w:after="60" w:before="60" w:line="300"/>
      </w:pPr>
      <w:r>
        <w:rPr>
          <w:rFonts w:ascii="Arial" w:cs="Arial" w:eastAsia="Arial" w:hAnsi="Arial"/>
          <w:b w:val="false"/>
          <w:bCs w:val="false"/>
          <w:color w:val="333333"/>
          <w:sz w:val="22"/>
          <w:szCs w:val="22"/>
        </w:rPr>
        <w:t xml:space="preserve">Accessibility: Add visual transcription display alongside audio playback and keyboard navigation support.</w:t>
      </w:r>
    </w:p>
    <w:p>
      <w:pPr>
        <w:pStyle w:val="ListParagraph"/>
        <w:numPr>
          <w:ilvl w:val="0"/>
          <w:numId w:val="2"/>
        </w:numPr>
        <w:spacing w:after="60" w:before="60" w:line="300"/>
      </w:pPr>
      <w:r>
        <w:rPr>
          <w:rFonts w:ascii="Arial" w:cs="Arial" w:eastAsia="Arial" w:hAnsi="Arial"/>
          <w:b w:val="false"/>
          <w:bCs w:val="false"/>
          <w:color w:val="333333"/>
          <w:sz w:val="22"/>
          <w:szCs w:val="22"/>
        </w:rPr>
        <w:t xml:space="preserve">Evaluation: Log translation pairs and solicit user ratings to measure accuracy and guide future prompt refinements.</w:t>
      </w:r>
    </w:p>
    <w:p>
      <w:pPr>
        <w:spacing w:after="160" w:before="0"/>
      </w:pPr>
      <w:r>
        <w:t xml:space="preserve"/>
      </w:r>
    </w:p>
    <w:p>
      <w:pPr>
        <w:pStyle w:val="Heading2"/>
        <w:spacing w:after="100" w:before="280"/>
      </w:pPr>
      <w:r>
        <w:rPr>
          <w:rFonts w:ascii="Arial" w:cs="Arial" w:eastAsia="Arial" w:hAnsi="Arial"/>
          <w:b/>
          <w:bCs/>
          <w:color w:val="2E75B6"/>
          <w:sz w:val="28"/>
          <w:szCs w:val="28"/>
        </w:rPr>
        <w:t xml:space="preserve">5.4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0E4F5" w:val="clear"/>
            <w:tcMar>
              <w:top w:type="dxa" w:w="100"/>
              <w:left w:type="dxa" w:w="160"/>
              <w:bottom w:type="dxa" w:w="100"/>
              <w:right w:type="dxa" w:w="160"/>
            </w:tcMar>
          </w:tcPr>
          <w:p>
            <w:r>
              <w:rPr>
                <w:rFonts w:ascii="Arial" w:cs="Arial" w:eastAsia="Arial" w:hAnsi="Arial"/>
                <w:b/>
                <w:bCs/>
                <w:color w:val="1A1A1A"/>
                <w:sz w:val="21"/>
                <w:szCs w:val="21"/>
              </w:rPr>
              <w:t xml:space="preserve">Total Steps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1"/>
                <w:szCs w:val="21"/>
              </w:rPr>
              <w:t xml:space="preserve">7 core steps + 1 optional deployment step</w:t>
            </w:r>
          </w:p>
        </w:tc>
      </w:tr>
      <w:tr>
        <w:tc>
          <w:tcPr>
            <w:tcW w:type="dxa" w:w="3120"/>
            <w:tcBorders>
              <w:top w:val="single" w:color="CCCCCC" w:sz="1"/>
              <w:left w:val="single" w:color="CCCCCC" w:sz="1"/>
              <w:bottom w:val="single" w:color="CCCCCC" w:sz="1"/>
              <w:right w:val="single" w:color="CCCCCC" w:sz="1"/>
            </w:tcBorders>
            <w:shd w:fill="D0E4F5" w:val="clear"/>
            <w:tcMar>
              <w:top w:type="dxa" w:w="100"/>
              <w:left w:type="dxa" w:w="160"/>
              <w:bottom w:type="dxa" w:w="100"/>
              <w:right w:type="dxa" w:w="160"/>
            </w:tcMar>
          </w:tcPr>
          <w:p>
            <w:r>
              <w:rPr>
                <w:rFonts w:ascii="Arial" w:cs="Arial" w:eastAsia="Arial" w:hAnsi="Arial"/>
                <w:b/>
                <w:bCs/>
                <w:color w:val="1A1A1A"/>
                <w:sz w:val="21"/>
                <w:szCs w:val="21"/>
              </w:rPr>
              <w:t xml:space="preserve">Primary Language</w:t>
            </w:r>
          </w:p>
        </w:tc>
        <w:tc>
          <w:tcPr>
            <w:tcW w:type="dxa" w:w="6240"/>
            <w:tcBorders>
              <w:top w:val="single" w:color="CCCCCC" w:sz="1"/>
              <w:left w:val="single" w:color="CCCCCC" w:sz="1"/>
              <w:bottom w:val="single" w:color="CCCCCC" w:sz="1"/>
              <w:right w:val="single" w:color="CCCCCC" w:sz="1"/>
            </w:tcBorders>
            <w:shd w:fill="F2F5FA" w:val="clear"/>
            <w:tcMar>
              <w:top w:type="dxa" w:w="100"/>
              <w:left w:type="dxa" w:w="160"/>
              <w:bottom w:type="dxa" w:w="100"/>
              <w:right w:type="dxa" w:w="160"/>
            </w:tcMar>
          </w:tcPr>
          <w:p>
            <w:r>
              <w:rPr>
                <w:rFonts w:ascii="Arial" w:cs="Arial" w:eastAsia="Arial" w:hAnsi="Arial"/>
                <w:b w:val="false"/>
                <w:bCs w:val="false"/>
                <w:color w:val="1A1A1A"/>
                <w:sz w:val="21"/>
                <w:szCs w:val="21"/>
              </w:rPr>
              <w:t xml:space="preserve">Python (Flask backend) + JavaScript (frontend)</w:t>
            </w:r>
          </w:p>
        </w:tc>
      </w:tr>
      <w:tr>
        <w:tc>
          <w:tcPr>
            <w:tcW w:type="dxa" w:w="3120"/>
            <w:tcBorders>
              <w:top w:val="single" w:color="CCCCCC" w:sz="1"/>
              <w:left w:val="single" w:color="CCCCCC" w:sz="1"/>
              <w:bottom w:val="single" w:color="CCCCCC" w:sz="1"/>
              <w:right w:val="single" w:color="CCCCCC" w:sz="1"/>
            </w:tcBorders>
            <w:shd w:fill="D0E4F5" w:val="clear"/>
            <w:tcMar>
              <w:top w:type="dxa" w:w="100"/>
              <w:left w:type="dxa" w:w="160"/>
              <w:bottom w:type="dxa" w:w="100"/>
              <w:right w:type="dxa" w:w="160"/>
            </w:tcMar>
          </w:tcPr>
          <w:p>
            <w:r>
              <w:rPr>
                <w:rFonts w:ascii="Arial" w:cs="Arial" w:eastAsia="Arial" w:hAnsi="Arial"/>
                <w:b/>
                <w:bCs/>
                <w:color w:val="1A1A1A"/>
                <w:sz w:val="21"/>
                <w:szCs w:val="21"/>
              </w:rPr>
              <w:t xml:space="preserve">AI Services Used</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1"/>
                <w:szCs w:val="21"/>
              </w:rPr>
              <w:t xml:space="preserve">Watsonx LLM, Watson STT, Watson TTS</w:t>
            </w:r>
          </w:p>
        </w:tc>
      </w:tr>
      <w:tr>
        <w:tc>
          <w:tcPr>
            <w:tcW w:type="dxa" w:w="3120"/>
            <w:tcBorders>
              <w:top w:val="single" w:color="CCCCCC" w:sz="1"/>
              <w:left w:val="single" w:color="CCCCCC" w:sz="1"/>
              <w:bottom w:val="single" w:color="CCCCCC" w:sz="1"/>
              <w:right w:val="single" w:color="CCCCCC" w:sz="1"/>
            </w:tcBorders>
            <w:shd w:fill="D0E4F5" w:val="clear"/>
            <w:tcMar>
              <w:top w:type="dxa" w:w="100"/>
              <w:left w:type="dxa" w:w="160"/>
              <w:bottom w:type="dxa" w:w="100"/>
              <w:right w:type="dxa" w:w="160"/>
            </w:tcMar>
          </w:tcPr>
          <w:p>
            <w:r>
              <w:rPr>
                <w:rFonts w:ascii="Arial" w:cs="Arial" w:eastAsia="Arial" w:hAnsi="Arial"/>
                <w:b/>
                <w:bCs/>
                <w:color w:val="1A1A1A"/>
                <w:sz w:val="21"/>
                <w:szCs w:val="21"/>
              </w:rPr>
              <w:t xml:space="preserve">Languages Supported</w:t>
            </w:r>
          </w:p>
        </w:tc>
        <w:tc>
          <w:tcPr>
            <w:tcW w:type="dxa" w:w="6240"/>
            <w:tcBorders>
              <w:top w:val="single" w:color="CCCCCC" w:sz="1"/>
              <w:left w:val="single" w:color="CCCCCC" w:sz="1"/>
              <w:bottom w:val="single" w:color="CCCCCC" w:sz="1"/>
              <w:right w:val="single" w:color="CCCCCC" w:sz="1"/>
            </w:tcBorders>
            <w:shd w:fill="F2F5FA" w:val="clear"/>
            <w:tcMar>
              <w:top w:type="dxa" w:w="100"/>
              <w:left w:type="dxa" w:w="160"/>
              <w:bottom w:type="dxa" w:w="100"/>
              <w:right w:type="dxa" w:w="160"/>
            </w:tcMar>
          </w:tcPr>
          <w:p>
            <w:r>
              <w:rPr>
                <w:rFonts w:ascii="Arial" w:cs="Arial" w:eastAsia="Arial" w:hAnsi="Arial"/>
                <w:b w:val="false"/>
                <w:bCs w:val="false"/>
                <w:color w:val="1A1A1A"/>
                <w:sz w:val="21"/>
                <w:szCs w:val="21"/>
              </w:rPr>
              <w:t xml:space="preserve">English input → Spanish output (extendable)</w:t>
            </w:r>
          </w:p>
        </w:tc>
      </w:tr>
      <w:tr>
        <w:tc>
          <w:tcPr>
            <w:tcW w:type="dxa" w:w="3120"/>
            <w:tcBorders>
              <w:top w:val="single" w:color="CCCCCC" w:sz="1"/>
              <w:left w:val="single" w:color="CCCCCC" w:sz="1"/>
              <w:bottom w:val="single" w:color="CCCCCC" w:sz="1"/>
              <w:right w:val="single" w:color="CCCCCC" w:sz="1"/>
            </w:tcBorders>
            <w:shd w:fill="D0E4F5" w:val="clear"/>
            <w:tcMar>
              <w:top w:type="dxa" w:w="100"/>
              <w:left w:type="dxa" w:w="160"/>
              <w:bottom w:type="dxa" w:w="100"/>
              <w:right w:type="dxa" w:w="160"/>
            </w:tcMar>
          </w:tcPr>
          <w:p>
            <w:r>
              <w:rPr>
                <w:rFonts w:ascii="Arial" w:cs="Arial" w:eastAsia="Arial" w:hAnsi="Arial"/>
                <w:b/>
                <w:bCs/>
                <w:color w:val="1A1A1A"/>
                <w:sz w:val="21"/>
                <w:szCs w:val="21"/>
              </w:rPr>
              <w:t xml:space="preserve">Deployment Options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1"/>
                <w:szCs w:val="21"/>
              </w:rPr>
              <w:t xml:space="preserve">CloudIDE (local), IBM Code Engine (cloud)</w:t>
            </w:r>
          </w:p>
        </w:tc>
      </w:tr>
      <w:tr>
        <w:tc>
          <w:tcPr>
            <w:tcW w:type="dxa" w:w="3120"/>
            <w:tcBorders>
              <w:top w:val="single" w:color="CCCCCC" w:sz="1"/>
              <w:left w:val="single" w:color="CCCCCC" w:sz="1"/>
              <w:bottom w:val="single" w:color="CCCCCC" w:sz="1"/>
              <w:right w:val="single" w:color="CCCCCC" w:sz="1"/>
            </w:tcBorders>
            <w:shd w:fill="D0E4F5" w:val="clear"/>
            <w:tcMar>
              <w:top w:type="dxa" w:w="100"/>
              <w:left w:type="dxa" w:w="160"/>
              <w:bottom w:type="dxa" w:w="100"/>
              <w:right w:type="dxa" w:w="160"/>
            </w:tcMar>
          </w:tcPr>
          <w:p>
            <w:r>
              <w:rPr>
                <w:rFonts w:ascii="Arial" w:cs="Arial" w:eastAsia="Arial" w:hAnsi="Arial"/>
                <w:b/>
                <w:bCs/>
                <w:color w:val="1A1A1A"/>
                <w:sz w:val="21"/>
                <w:szCs w:val="21"/>
              </w:rPr>
              <w:t xml:space="preserve">License</w:t>
            </w:r>
          </w:p>
        </w:tc>
        <w:tc>
          <w:tcPr>
            <w:tcW w:type="dxa" w:w="6240"/>
            <w:tcBorders>
              <w:top w:val="single" w:color="CCCCCC" w:sz="1"/>
              <w:left w:val="single" w:color="CCCCCC" w:sz="1"/>
              <w:bottom w:val="single" w:color="CCCCCC" w:sz="1"/>
              <w:right w:val="single" w:color="CCCCCC" w:sz="1"/>
            </w:tcBorders>
            <w:shd w:fill="F2F5FA" w:val="clear"/>
            <w:tcMar>
              <w:top w:type="dxa" w:w="100"/>
              <w:left w:type="dxa" w:w="160"/>
              <w:bottom w:type="dxa" w:w="100"/>
              <w:right w:type="dxa" w:w="160"/>
            </w:tcMar>
          </w:tcPr>
          <w:p>
            <w:r>
              <w:rPr>
                <w:rFonts w:ascii="Arial" w:cs="Arial" w:eastAsia="Arial" w:hAnsi="Arial"/>
                <w:b w:val="false"/>
                <w:bCs w:val="false"/>
                <w:color w:val="1A1A1A"/>
                <w:sz w:val="21"/>
                <w:szCs w:val="21"/>
              </w:rPr>
              <w:t xml:space="preserve">Apache 2.0</w:t>
            </w:r>
          </w:p>
        </w:tc>
      </w:tr>
    </w:tbl>
    <w:p>
      <w:pPr>
        <w:spacing w:after="320" w:before="0"/>
      </w:pPr>
      <w:r>
        <w:t xml:space="preserve"/>
      </w:r>
    </w:p>
    <w:p>
      <w:pPr>
        <w:spacing w:before="200"/>
        <w:jc w:val="center"/>
      </w:pPr>
      <w:r>
        <w:rPr>
          <w:rFonts w:ascii="Arial" w:cs="Arial" w:eastAsia="Arial" w:hAnsi="Arial"/>
          <w:i/>
          <w:iCs/>
          <w:color w:val="999999"/>
          <w:sz w:val="20"/>
          <w:szCs w:val="20"/>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pBdr>
      <w:spacing w:before="120"/>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  IBM Skills Network  |  Apache 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spacing w:after="120"/>
    </w:pPr>
    <w:r>
      <w:rPr>
        <w:rFonts w:ascii="Arial" w:cs="Arial" w:eastAsia="Arial" w:hAnsi="Arial"/>
        <w:color w:val="2E75B6"/>
        <w:sz w:val="18"/>
        <w:szCs w:val="18"/>
      </w:rPr>
      <w:t xml:space="preserve">Babel Fish with LLM STT TTS  |  Project Report</w:t>
    </w:r>
    <w:r>
      <w:rPr>
        <w:rFonts w:ascii="Arial" w:cs="Arial" w:eastAsia="Arial" w:hAnsi="Arial"/>
        <w:color w:val="999999"/>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F7DC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2026-06-03T04:28:59.408Z</dcterms:created>
  <dcterms:modified xsi:type="dcterms:W3CDTF">2026-06-03T04:28:59.408Z</dcterms:modified>
</cp:coreProperties>
</file>

<file path=docProps/custom.xml><?xml version="1.0" encoding="utf-8"?>
<Properties xmlns="http://schemas.openxmlformats.org/officeDocument/2006/custom-properties" xmlns:vt="http://schemas.openxmlformats.org/officeDocument/2006/docPropsVTypes"/>
</file>