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controls assessment checklist, refer to the information provided in the </w:t>
      </w:r>
      <w:hyperlink r:id="rId6">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control, including the type and purpose, refer to the </w:t>
      </w:r>
      <w:hyperlink r:id="rId7">
        <w:r w:rsidDel="00000000" w:rsidR="00000000" w:rsidRPr="00000000">
          <w:rPr>
            <w:rFonts w:ascii="Google Sans" w:cs="Google Sans" w:eastAsia="Google Sans" w:hAnsi="Google Sans"/>
            <w:color w:val="1155cc"/>
            <w:sz w:val="24"/>
            <w:szCs w:val="24"/>
            <w:u w:val="single"/>
            <w:rtl w:val="0"/>
          </w:rPr>
          <w:t xml:space="preserve">control categories</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have this control in place? </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3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compliance checklist, refer to the information provided in the </w:t>
      </w:r>
      <w:hyperlink r:id="rId8">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compliance regulation, review the </w:t>
      </w:r>
      <w:hyperlink r:id="rId9">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reading.</w:t>
      </w:r>
    </w:p>
    <w:p w:rsidR="00000000" w:rsidDel="00000000" w:rsidP="00000000" w:rsidRDefault="00000000" w:rsidRPr="00000000" w14:paraId="0000003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C">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p>
    <w:p w:rsidR="00000000" w:rsidDel="00000000" w:rsidP="00000000" w:rsidRDefault="00000000" w:rsidRPr="00000000" w14:paraId="0000003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E">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3F">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0">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5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2">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6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4">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r>
    </w:tbl>
    <w:p w:rsidR="00000000" w:rsidDel="00000000" w:rsidP="00000000" w:rsidRDefault="00000000" w:rsidRPr="00000000" w14:paraId="00000074">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5">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This section is </w:t>
      </w:r>
      <w:r w:rsidDel="00000000" w:rsidR="00000000" w:rsidRPr="00000000">
        <w:rPr>
          <w:rFonts w:ascii="Google Sans" w:cs="Google Sans" w:eastAsia="Google Sans" w:hAnsi="Google Sans"/>
          <w:i w:val="1"/>
          <w:sz w:val="24"/>
          <w:szCs w:val="24"/>
          <w:rtl w:val="0"/>
        </w:rPr>
        <w:t xml:space="preserve">optional</w:t>
      </w:r>
      <w:r w:rsidDel="00000000" w:rsidR="00000000" w:rsidRPr="00000000">
        <w:rPr>
          <w:rFonts w:ascii="Google Sans" w:cs="Google Sans" w:eastAsia="Google Sans" w:hAnsi="Google Sans"/>
          <w:sz w:val="24"/>
          <w:szCs w:val="24"/>
          <w:rtl w:val="0"/>
        </w:rPr>
        <w:t xml:space="preserve"> and can be used to provide a summary of recommendations to the IT manager regarding which controls and/or compliance best practices Botium Toys needs to implement, based on the risk posed if not implemented in a timely manner.</w:t>
      </w:r>
    </w:p>
    <w:p w:rsidR="00000000" w:rsidDel="00000000" w:rsidP="00000000" w:rsidRDefault="00000000" w:rsidRPr="00000000" w14:paraId="00000077">
      <w:pPr>
        <w:spacing w:after="200" w:line="360" w:lineRule="auto"/>
        <w:rPr/>
      </w:pPr>
      <w:r w:rsidDel="00000000" w:rsidR="00000000" w:rsidRPr="00000000">
        <w:rPr>
          <w:rFonts w:ascii="Google Sans" w:cs="Google Sans" w:eastAsia="Google Sans" w:hAnsi="Google Sans"/>
          <w:b w:val="1"/>
          <w:sz w:val="24"/>
          <w:szCs w:val="24"/>
          <w:rtl w:val="0"/>
        </w:rPr>
        <w:t xml:space="preserve">Recommendations (optional): </w:t>
      </w:r>
      <w:r w:rsidDel="00000000" w:rsidR="00000000" w:rsidRPr="00000000">
        <w:rPr>
          <w:rFonts w:ascii="Google Sans" w:cs="Google Sans" w:eastAsia="Google Sans" w:hAnsi="Google Sans"/>
          <w:sz w:val="24"/>
          <w:szCs w:val="24"/>
          <w:rtl w:val="0"/>
        </w:rPr>
        <w:t xml:space="preserve">Recommended to minimize access to date only to the minimum needed to perform duties. Encryption of credit card information must be implemented to ensure the safety of customers. Install IDS along with a disaster recovery plan. Strengthen current password policy and add a centralized password management system that enforces the password policies.</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foundations-of-cybersecurity/supplement/xu4pr/controls-frameworks-and-compliance" TargetMode="External"/><Relationship Id="rId5" Type="http://schemas.openxmlformats.org/officeDocument/2006/relationships/styles" Target="styles.xml"/><Relationship Id="rId6" Type="http://schemas.openxmlformats.org/officeDocument/2006/relationships/hyperlink" Target="https://docs.google.com/document/d/1s2u_RuhRAI40JSh-eZHvaFsV1ZMxcNSWXifHDTOsgFc/template/preview#heading=h.evidx83t54sc" TargetMode="External"/><Relationship Id="rId7" Type="http://schemas.openxmlformats.org/officeDocument/2006/relationships/hyperlink" Target="https://docs.google.com/document/d/1btezuy_bMKWoK8pd97ZuzdWB9y6au_zfkrpkfVf8ktI/template/preview" TargetMode="External"/><Relationship Id="rId8" Type="http://schemas.openxmlformats.org/officeDocument/2006/relationships/hyperlink" Target="https://docs.google.com/document/d/1s2u_RuhRAI40JSh-eZHvaFsV1ZMxcNSWXifHDTOsgFc/template/previe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