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09330452" w:rsidR="002D3534" w:rsidRPr="00A742D9" w:rsidRDefault="00A742D9" w:rsidP="002D3534">
      <w:pPr>
        <w:rPr>
          <w:b/>
          <w:bCs/>
          <w:i/>
          <w:iCs/>
          <w:lang w:val="en-US"/>
        </w:rPr>
      </w:pPr>
      <w:r w:rsidRPr="00A742D9">
        <w:rPr>
          <w:b/>
          <w:bCs/>
          <w:i/>
          <w:iCs/>
          <w:lang w:val="en-US"/>
        </w:rPr>
        <w:t>Technology </w:t>
      </w:r>
      <w:r w:rsidR="002D3534" w:rsidRPr="00A742D9">
        <w:rPr>
          <w:b/>
          <w:bCs/>
          <w:i/>
          <w:iCs/>
          <w:lang w:val="en-US"/>
        </w:rPr>
        <w:t xml:space="preserve"> | </w:t>
      </w:r>
      <w:r w:rsidR="002D3534" w:rsidRPr="006114A2">
        <w:rPr>
          <w:b/>
          <w:bCs/>
          <w:i/>
          <w:iCs/>
          <w:lang w:val="en-US"/>
        </w:rPr>
        <w:t>EU</w:t>
      </w:r>
      <w:r w:rsidR="002D3534" w:rsidRPr="00A742D9">
        <w:rPr>
          <w:b/>
          <w:bCs/>
          <w:i/>
          <w:iCs/>
          <w:lang w:val="en-US"/>
        </w:rPr>
        <w:t xml:space="preserve"> </w:t>
      </w:r>
      <w:r w:rsidR="002D3534" w:rsidRPr="006114A2">
        <w:rPr>
          <w:b/>
          <w:bCs/>
          <w:i/>
          <w:iCs/>
          <w:lang w:val="en-US"/>
        </w:rPr>
        <w:t>count</w:t>
      </w:r>
      <w:r w:rsidR="002D3534" w:rsidRPr="00A742D9">
        <w:rPr>
          <w:b/>
          <w:bCs/>
          <w:i/>
          <w:iCs/>
          <w:lang w:val="en-US"/>
        </w:rPr>
        <w:t xml:space="preserve"> | </w:t>
      </w:r>
      <w:r w:rsidR="002D3534" w:rsidRPr="006114A2">
        <w:rPr>
          <w:b/>
          <w:bCs/>
          <w:i/>
          <w:iCs/>
          <w:lang w:val="en-US"/>
        </w:rPr>
        <w:t>EU</w:t>
      </w:r>
      <w:r w:rsidR="002D3534" w:rsidRPr="00A742D9">
        <w:rPr>
          <w:b/>
          <w:bCs/>
          <w:i/>
          <w:iCs/>
          <w:lang w:val="en-US"/>
        </w:rPr>
        <w:t xml:space="preserve"> % | </w:t>
      </w:r>
      <w:r w:rsidRPr="00A742D9">
        <w:rPr>
          <w:b/>
          <w:bCs/>
          <w:i/>
          <w:iCs/>
          <w:lang w:val="en-US"/>
        </w:rPr>
        <w:t xml:space="preserve">Technology </w:t>
      </w:r>
      <w:r w:rsidR="002D3534" w:rsidRPr="00A742D9">
        <w:rPr>
          <w:b/>
          <w:bCs/>
          <w:i/>
          <w:iCs/>
          <w:lang w:val="en-US"/>
        </w:rPr>
        <w:t xml:space="preserve">| </w:t>
      </w:r>
      <w:r w:rsidR="002D3534" w:rsidRPr="006114A2">
        <w:rPr>
          <w:b/>
          <w:bCs/>
          <w:i/>
          <w:iCs/>
          <w:lang w:val="en-US"/>
        </w:rPr>
        <w:t>NA</w:t>
      </w:r>
      <w:r w:rsidR="002D3534" w:rsidRPr="00A742D9">
        <w:rPr>
          <w:b/>
          <w:bCs/>
          <w:i/>
          <w:iCs/>
          <w:lang w:val="en-US"/>
        </w:rPr>
        <w:t xml:space="preserve"> </w:t>
      </w:r>
      <w:r w:rsidR="002D3534" w:rsidRPr="006114A2">
        <w:rPr>
          <w:b/>
          <w:bCs/>
          <w:i/>
          <w:iCs/>
          <w:lang w:val="en-US"/>
        </w:rPr>
        <w:t>count</w:t>
      </w:r>
      <w:r w:rsidR="002D3534" w:rsidRPr="00A742D9">
        <w:rPr>
          <w:b/>
          <w:bCs/>
          <w:i/>
          <w:iCs/>
          <w:lang w:val="en-US"/>
        </w:rPr>
        <w:t xml:space="preserve"> | </w:t>
      </w:r>
      <w:r w:rsidR="002D3534" w:rsidRPr="006114A2">
        <w:rPr>
          <w:b/>
          <w:bCs/>
          <w:i/>
          <w:iCs/>
          <w:lang w:val="en-US"/>
        </w:rPr>
        <w:t>NA</w:t>
      </w:r>
      <w:r w:rsidR="002D3534" w:rsidRPr="00A742D9">
        <w:rPr>
          <w:b/>
          <w:bCs/>
          <w:i/>
          <w:iCs/>
          <w:lang w:val="en-U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Воспроизводимый код, использованный для генерации таблиц с результатами</w:t>
      </w:r>
      <w:r w:rsidRPr="0025235E">
        <w:t xml:space="preserve"> </w:t>
      </w:r>
      <w:r w:rsidR="000E54B2" w:rsidRPr="000E54B2">
        <w:rPr>
          <w:i/>
          <w:iCs/>
        </w:rPr>
        <w:t>«</w:t>
      </w:r>
      <w:r w:rsidR="000E54B2" w:rsidRPr="000E54B2">
        <w:rPr>
          <w:i/>
          <w:iCs/>
        </w:rPr>
        <w:t>all_tables.xlsx</w:t>
      </w:r>
      <w:r w:rsidR="000E54B2" w:rsidRPr="000E54B2">
        <w:rPr>
          <w:i/>
          <w:iCs/>
        </w:rPr>
        <w:t>»</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29E50199" w:rsidR="006B7F35" w:rsidRPr="00C77BB6" w:rsidRDefault="00C77BB6" w:rsidP="003A22D4">
      <w:pPr>
        <w:pStyle w:val="Heading2"/>
        <w:rPr>
          <w:lang w:val="en-US"/>
        </w:rPr>
      </w:pPr>
      <w:r>
        <w:rPr>
          <w:lang w:val="en-US"/>
        </w:rPr>
        <w:t>QWE</w:t>
      </w:r>
    </w:p>
    <w:p w14:paraId="51E13DEA" w14:textId="77777777" w:rsidR="003A22D4" w:rsidRPr="00C77BB6" w:rsidRDefault="003A22D4" w:rsidP="00A334C9">
      <w:pPr>
        <w:rPr>
          <w:lang w:val="en-US"/>
        </w:rPr>
      </w:pPr>
    </w:p>
    <w:p w14:paraId="2E0E0AB2" w14:textId="77777777" w:rsidR="003A22D4" w:rsidRPr="00C77BB6" w:rsidRDefault="003A22D4" w:rsidP="00A334C9">
      <w:pPr>
        <w:rPr>
          <w:lang w:val="en-US"/>
        </w:rPr>
      </w:pPr>
    </w:p>
    <w:p w14:paraId="36F90C16" w14:textId="241B6560" w:rsidR="00F2494A" w:rsidRDefault="00540A31" w:rsidP="00F2494A">
      <w:pPr>
        <w:pStyle w:val="Heading2"/>
        <w:rPr>
          <w:lang w:val="en-US"/>
        </w:rPr>
      </w:pPr>
      <w:r w:rsidRPr="00C77BB6">
        <w:rPr>
          <w:lang w:val="en-US"/>
        </w:rPr>
        <w:t xml:space="preserve">1. </w:t>
      </w:r>
      <w:r w:rsidR="00F2494A" w:rsidRPr="00F2494A">
        <w:t>Базовые</w:t>
      </w:r>
      <w:r w:rsidR="00F2494A" w:rsidRPr="00C77BB6">
        <w:rPr>
          <w:lang w:val="en-US"/>
        </w:rPr>
        <w:t xml:space="preserve"> </w:t>
      </w:r>
      <w:r w:rsidR="00F2494A" w:rsidRPr="00F2494A">
        <w:t>языки</w:t>
      </w:r>
      <w:r w:rsidR="00F2494A" w:rsidRPr="00C77BB6">
        <w:rPr>
          <w:lang w:val="en-US"/>
        </w:rPr>
        <w:t xml:space="preserve"> </w:t>
      </w:r>
      <w:r w:rsidR="00F2494A" w:rsidRPr="00F2494A">
        <w:t>и</w:t>
      </w:r>
      <w:r w:rsidR="00F2494A" w:rsidRPr="00C77BB6">
        <w:rPr>
          <w:lang w:val="en-US"/>
        </w:rPr>
        <w:t xml:space="preserve"> </w:t>
      </w:r>
      <w:r w:rsidR="00F2494A" w:rsidRPr="00F2494A">
        <w:t>инструменты</w:t>
      </w:r>
    </w:p>
    <w:p w14:paraId="02D9AFBE" w14:textId="750D90B0" w:rsidR="00F2494A" w:rsidRPr="00C77BB6" w:rsidRDefault="00540A31" w:rsidP="00A334C9">
      <w:pPr>
        <w:rPr>
          <w:b/>
          <w:bCs/>
          <w:lang w:val="en-US"/>
        </w:rPr>
      </w:pPr>
      <w:r w:rsidRPr="00C77BB6">
        <w:rPr>
          <w:b/>
          <w:bCs/>
          <w:lang w:val="en-U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The Ultimate Guide To Hire iOS Developers and Android Developers For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language_map.json</w:t>
      </w:r>
      <w:proofErr w:type="spell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r w:rsidRPr="001A0141">
        <w:rPr>
          <w:i/>
          <w:iCs/>
          <w:lang w:val="en-US"/>
        </w:rPr>
        <w:t>tests.ipynb</w:t>
      </w:r>
      <w:proofErr w:type="spell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r w:rsidRPr="00035E58">
        <w:rPr>
          <w:i/>
          <w:iCs/>
          <w:lang w:val="en-US"/>
        </w:rPr>
        <w:t>synonyms</w:t>
      </w:r>
      <w:r w:rsidRPr="00035E58">
        <w:rPr>
          <w:i/>
          <w:iCs/>
        </w:rPr>
        <w:t>.</w:t>
      </w:r>
      <w:r w:rsidRPr="00035E58">
        <w:rPr>
          <w:i/>
          <w:iCs/>
          <w:lang w:val="en-US"/>
        </w:rPr>
        <w:t>json</w:t>
      </w:r>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remove_list.json</w:t>
      </w:r>
      <w:proofErr w:type="spell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key_values.json</w:t>
      </w:r>
      <w:proofErr w:type="spell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r w:rsidRPr="000F4501">
        <w:rPr>
          <w:i/>
          <w:iCs/>
          <w:lang w:val="en-US"/>
        </w:rPr>
        <w:t>map</w:t>
      </w:r>
      <w:r w:rsidRPr="000F4501">
        <w:rPr>
          <w:i/>
          <w:iCs/>
        </w:rPr>
        <w:t>.</w:t>
      </w:r>
      <w:r w:rsidRPr="000F4501">
        <w:rPr>
          <w:i/>
          <w:iCs/>
          <w:lang w:val="en-US"/>
        </w:rPr>
        <w:t>json</w:t>
      </w:r>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data_analysis.ipynb</w:t>
      </w:r>
      <w:proofErr w:type="spell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Default="000E54B2" w:rsidP="009E1839">
      <w:pPr>
        <w:tabs>
          <w:tab w:val="left" w:pos="3203"/>
        </w:tabs>
        <w:jc w:val="left"/>
        <w:rPr>
          <w:lang w:val="en-US"/>
        </w:rPr>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https://github.com/S0la1re/Research-work-new/blob/main/data/all_tables.xlsx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0C4410" w:rsidRDefault="00B7533F" w:rsidP="000875E3">
      <w:pPr>
        <w:spacing w:after="360" w:line="240" w:lineRule="auto"/>
        <w:rPr>
          <w:i/>
          <w:iCs/>
        </w:rPr>
      </w:pPr>
      <w:r w:rsidRPr="000C4410">
        <w:rPr>
          <w:i/>
          <w:iCs/>
        </w:rPr>
        <w:t xml:space="preserve">1. </w:t>
      </w:r>
      <w:r w:rsidRPr="000875E3">
        <w:rPr>
          <w:i/>
          <w:iCs/>
          <w:lang w:val="en-US"/>
        </w:rPr>
        <w:t>Platform</w:t>
      </w:r>
      <w:r w:rsidRPr="000C4410">
        <w:rPr>
          <w:i/>
          <w:iCs/>
        </w:rPr>
        <w:t xml:space="preserve">: </w:t>
      </w:r>
      <w:r w:rsidRPr="000875E3">
        <w:rPr>
          <w:i/>
          <w:iCs/>
          <w:lang w:val="en-US"/>
        </w:rPr>
        <w:t>Android</w:t>
      </w:r>
      <w:r w:rsidRPr="000C441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ui_and_cross_platform_frameworks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architectural_patterns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dependency_injection_frameworks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data_and_caching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networking_and_api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backend_or_baas_integration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security_and_cryptography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debugging_or_profiling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monitoring_analytics_and_crash_reporting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r w:rsidRPr="00343277">
        <w:rPr>
          <w:i/>
          <w:iCs/>
          <w:lang w:val="en-US"/>
        </w:rPr>
        <w:t>development_methodologies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code_quality_and_static_analysis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documentation_and_knowledge_sharing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collaboration_pm_and_design_handoff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distribution_and_store_operations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compliance_and_certifications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DD15B" w14:textId="77777777" w:rsidR="00DF4589" w:rsidRDefault="00DF4589" w:rsidP="0095343D">
      <w:pPr>
        <w:spacing w:after="0" w:line="240" w:lineRule="auto"/>
      </w:pPr>
      <w:r>
        <w:separator/>
      </w:r>
    </w:p>
  </w:endnote>
  <w:endnote w:type="continuationSeparator" w:id="0">
    <w:p w14:paraId="63AD3739" w14:textId="77777777" w:rsidR="00DF4589" w:rsidRDefault="00DF4589"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E4F39" w14:textId="77777777" w:rsidR="00DF4589" w:rsidRDefault="00DF4589" w:rsidP="0095343D">
      <w:pPr>
        <w:spacing w:after="0" w:line="240" w:lineRule="auto"/>
      </w:pPr>
      <w:r>
        <w:separator/>
      </w:r>
    </w:p>
  </w:footnote>
  <w:footnote w:type="continuationSeparator" w:id="0">
    <w:p w14:paraId="14913D51" w14:textId="77777777" w:rsidR="00DF4589" w:rsidRDefault="00DF4589"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21B7"/>
    <w:rsid w:val="00062A04"/>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4B2"/>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3191"/>
    <w:rsid w:val="004331C5"/>
    <w:rsid w:val="004338AE"/>
    <w:rsid w:val="00433E91"/>
    <w:rsid w:val="004356FF"/>
    <w:rsid w:val="00435D4D"/>
    <w:rsid w:val="00436F48"/>
    <w:rsid w:val="00437956"/>
    <w:rsid w:val="004400A7"/>
    <w:rsid w:val="004405D2"/>
    <w:rsid w:val="00440E29"/>
    <w:rsid w:val="00440E5C"/>
    <w:rsid w:val="004412E6"/>
    <w:rsid w:val="00441457"/>
    <w:rsid w:val="00441549"/>
    <w:rsid w:val="00442F84"/>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42F"/>
    <w:rsid w:val="00551571"/>
    <w:rsid w:val="00551877"/>
    <w:rsid w:val="00551E3B"/>
    <w:rsid w:val="0055291D"/>
    <w:rsid w:val="00552DCF"/>
    <w:rsid w:val="00552E00"/>
    <w:rsid w:val="00553805"/>
    <w:rsid w:val="00555ABC"/>
    <w:rsid w:val="00557AF6"/>
    <w:rsid w:val="005601AA"/>
    <w:rsid w:val="00562A5B"/>
    <w:rsid w:val="005644C8"/>
    <w:rsid w:val="005644E0"/>
    <w:rsid w:val="005645CE"/>
    <w:rsid w:val="00564C52"/>
    <w:rsid w:val="005656D7"/>
    <w:rsid w:val="005658C7"/>
    <w:rsid w:val="00566579"/>
    <w:rsid w:val="00567011"/>
    <w:rsid w:val="00570263"/>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B7F35"/>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B01"/>
    <w:rsid w:val="009352D8"/>
    <w:rsid w:val="00936F4F"/>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47FE"/>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EC5"/>
    <w:rsid w:val="00FA613A"/>
    <w:rsid w:val="00FA6B59"/>
    <w:rsid w:val="00FA6D1F"/>
    <w:rsid w:val="00FA7036"/>
    <w:rsid w:val="00FA76A2"/>
    <w:rsid w:val="00FA76BE"/>
    <w:rsid w:val="00FA79A4"/>
    <w:rsid w:val="00FA7F9F"/>
    <w:rsid w:val="00FB2042"/>
    <w:rsid w:val="00FB205E"/>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13716</TotalTime>
  <Pages>54</Pages>
  <Words>12408</Words>
  <Characters>70727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3374</cp:revision>
  <cp:lastPrinted>2025-03-24T11:33:00Z</cp:lastPrinted>
  <dcterms:created xsi:type="dcterms:W3CDTF">2025-02-13T09:26:00Z</dcterms:created>
  <dcterms:modified xsi:type="dcterms:W3CDTF">2025-08-05T15:21:00Z</dcterms:modified>
</cp:coreProperties>
</file>