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FDC2A53" w14:textId="09A764CB" w:rsidR="002D674C" w:rsidRPr="00657248" w:rsidRDefault="00E75817" w:rsidP="00116436">
      <w:pPr>
        <w:pStyle w:val="Heading2"/>
        <w:spacing w:before="360" w:after="360"/>
      </w:pPr>
      <w:bookmarkStart w:id="10" w:name="_Toc193715140"/>
      <w:r>
        <w:t xml:space="preserve">2.1. </w:t>
      </w:r>
      <w:r w:rsidR="00657248">
        <w:t>Выбор языка программирования</w:t>
      </w:r>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r>
        <w:t xml:space="preserve">2.3. </w:t>
      </w:r>
      <w:r w:rsidR="009742CE">
        <w:t>Сбор вакансий</w:t>
      </w:r>
      <w:r w:rsidR="00CD1499">
        <w:t xml:space="preserve"> с помощью </w:t>
      </w:r>
      <w:r w:rsidR="00CD1499" w:rsidRPr="00CD1499">
        <w:rPr>
          <w:i/>
          <w:iCs/>
        </w:rPr>
        <w:t>SerpApi</w:t>
      </w:r>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далее</w:t>
      </w:r>
      <w:r w:rsidR="007E065B" w:rsidRPr="007E065B">
        <w:t xml:space="preserve">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1" w:name="_Toc193715141"/>
      <w:r w:rsidRPr="009663C4">
        <w:t>2.</w:t>
      </w:r>
      <w:r>
        <w:t>4</w:t>
      </w:r>
      <w:r w:rsidRPr="009663C4">
        <w:t xml:space="preserve">. </w:t>
      </w:r>
      <w:bookmarkEnd w:id="11"/>
      <w:r>
        <w:t>О</w:t>
      </w:r>
      <w:r w:rsidRPr="009663C4">
        <w:t>пределения языка вакансий</w:t>
      </w:r>
      <w:r>
        <w:t xml:space="preserve"> с помощью</w:t>
      </w:r>
      <w:r w:rsidRPr="009663C4">
        <w:t xml:space="preserve"> </w:t>
      </w:r>
      <w:r w:rsidRPr="009663C4">
        <w:rPr>
          <w:i/>
          <w:iCs/>
        </w:rPr>
        <w:t>Langdetect</w:t>
      </w:r>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 xml:space="preserve">и </w:t>
      </w:r>
      <w:r w:rsidR="00683EE1" w:rsidRPr="00683EE1">
        <w:t>умеренного</w:t>
      </w:r>
      <w:r w:rsidR="00683EE1" w:rsidRPr="00683EE1">
        <w:t xml:space="preserve">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12" w:name="_2.3._ChatGPT-4o"/>
      <w:bookmarkStart w:id="13" w:name="_Toc193715142"/>
      <w:bookmarkEnd w:id="10"/>
      <w:bookmarkEnd w:id="12"/>
      <w:r w:rsidRPr="009663C4">
        <w:t>2</w:t>
      </w:r>
      <w:r w:rsidR="00D035F3" w:rsidRPr="009663C4">
        <w:t>.</w:t>
      </w:r>
      <w:r w:rsidR="000C75E7">
        <w:t>5</w:t>
      </w:r>
      <w:r w:rsidR="00D21C51" w:rsidRPr="009663C4">
        <w:t xml:space="preserve">. </w:t>
      </w:r>
      <w:bookmarkEnd w:id="13"/>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Структура промпта опирается на результаты</w:t>
      </w:r>
      <w:r w:rsidRPr="004C4FBB">
        <w:t xml:space="preserve">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16" w:name="_2.4._Fuzzy_matching"/>
      <w:bookmarkStart w:id="17" w:name="_Toc193715143"/>
      <w:bookmarkEnd w:id="16"/>
      <w:r w:rsidRPr="009663C4">
        <w:t>2.</w:t>
      </w:r>
      <w:r w:rsidR="00E756D7">
        <w:t>6</w:t>
      </w:r>
      <w:r w:rsidRPr="009663C4">
        <w:t xml:space="preserve">. </w:t>
      </w:r>
      <w:bookmarkEnd w:id="17"/>
      <w:r w:rsidR="000F4CD2">
        <w:t>Н</w:t>
      </w:r>
      <w:r w:rsidR="000F4CD2" w:rsidRPr="009663C4">
        <w:t>ечёткое сопоставление</w:t>
      </w:r>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w:t>
        </w:r>
        <w:r w:rsidR="0027765E">
          <w:rPr>
            <w:rStyle w:val="Hyperlink"/>
            <w:color w:val="auto"/>
            <w:u w:val="none"/>
            <w:lang w:val="en-US"/>
          </w:rPr>
          <w:t>5</w:t>
        </w:r>
        <w:r w:rsidR="0027765E">
          <w:rPr>
            <w:rStyle w:val="Hyperlink"/>
            <w:color w:val="auto"/>
            <w:u w:val="none"/>
            <w:lang w:val="en-US"/>
          </w:rPr>
          <w:t>.1.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w:t>
        </w:r>
        <w:r w:rsidRPr="00AE4401">
          <w:rPr>
            <w:rStyle w:val="Hyperlink"/>
            <w:color w:val="auto"/>
            <w:u w:val="none"/>
          </w:rPr>
          <w:t>н</w:t>
        </w:r>
        <w:r w:rsidRPr="00AE4401">
          <w:rPr>
            <w:rStyle w:val="Hyperlink"/>
            <w:color w:val="auto"/>
            <w:u w:val="none"/>
          </w:rPr>
          <w:t>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 xml:space="preserve">раздел </w:t>
        </w:r>
        <w:r w:rsidR="00AC234D">
          <w:rPr>
            <w:rStyle w:val="Hyperlink"/>
            <w:color w:val="auto"/>
            <w:u w:val="none"/>
          </w:rPr>
          <w:t>2</w:t>
        </w:r>
        <w:r w:rsidR="00AC234D">
          <w:rPr>
            <w:rStyle w:val="Hyperlink"/>
            <w:color w:val="auto"/>
            <w:u w:val="none"/>
          </w:rPr>
          <w:t>.6.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w:t>
        </w:r>
        <w:r w:rsidR="00AC234D">
          <w:rPr>
            <w:rStyle w:val="Hyperlink"/>
          </w:rPr>
          <w:t>л</w:t>
        </w:r>
        <w:r w:rsidR="00AC234D">
          <w:rPr>
            <w:rStyle w:val="Hyperlink"/>
          </w:rPr>
          <w:t xml:space="preserve">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5F4C6C9A" w14:textId="58CAAB2D" w:rsidR="0007674A" w:rsidRDefault="0007674A" w:rsidP="00203924">
      <w:pPr>
        <w:pStyle w:val="Heading2"/>
      </w:pPr>
      <w:r>
        <w:t xml:space="preserve">5.1. </w:t>
      </w:r>
      <w:r w:rsidRPr="0007674A">
        <w:t>Связь с теорией и предшествующими исследованиями</w:t>
      </w:r>
    </w:p>
    <w:p w14:paraId="76217E93" w14:textId="55094297"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w:t>
        </w:r>
        <w:proofErr w:type="spellEnd"/>
        <w:r w:rsidRPr="009663C4">
          <w:rPr>
            <w:rStyle w:val="Hyperlink"/>
            <w:color w:val="auto"/>
            <w:u w:val="none"/>
            <w:lang w:val="en-US"/>
          </w:rPr>
          <w:t>e</w:t>
        </w:r>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021D8DFC" w14:textId="77777777" w:rsidR="008A41ED" w:rsidRPr="009663C4" w:rsidRDefault="008A41ED" w:rsidP="009E1839">
      <w:pPr>
        <w:tabs>
          <w:tab w:val="left" w:pos="3203"/>
        </w:tabs>
        <w:jc w:val="left"/>
        <w:rPr>
          <w:lang w:val="en-US"/>
        </w:rPr>
      </w:pPr>
      <w:bookmarkStart w:id="41" w:name="Preprints_2025_ChatGPT_4_vs_ChatGPT_4o"/>
      <w:bookmarkStart w:id="42" w:name="Wikipedia_n_d_GPT_4o"/>
      <w:bookmarkStart w:id="43" w:name="Wikipedia_iOS"/>
      <w:bookmarkStart w:id="44" w:name="Wikipedia_Android"/>
      <w:bookmarkStart w:id="45" w:name="Appfox_2023_Язык_программ_Objective_c"/>
      <w:bookmarkStart w:id="46" w:name="Hanna_Samer_Odeh_2024_Android_Jobs"/>
      <w:bookmarkEnd w:id="41"/>
      <w:bookmarkEnd w:id="42"/>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69"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3"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4"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48634B"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5"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03A2184E" w14:textId="4EBA63A0" w:rsidR="00F107C6" w:rsidRDefault="00A726FD" w:rsidP="00A726FD">
      <w:pPr>
        <w:tabs>
          <w:tab w:val="left" w:pos="3203"/>
        </w:tabs>
        <w:jc w:val="left"/>
        <w:rPr>
          <w:lang w:val="en-US"/>
        </w:rPr>
      </w:pPr>
      <w:bookmarkStart w:id="106" w:name="Clifford_2018_26_июня_Introducin_the_ind"/>
      <w:bookmarkEnd w:id="106"/>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76" w:history="1">
        <w:r w:rsidRPr="007708F7">
          <w:rPr>
            <w:rStyle w:val="Hyperlink"/>
            <w:lang w:val="en-US"/>
          </w:rPr>
          <w:t>https://developers.google.com/search/blog/2018/06/introducing-indexing-api-for-job</w:t>
        </w:r>
      </w:hyperlink>
    </w:p>
    <w:p w14:paraId="45156DF5" w14:textId="3C9D86E7" w:rsidR="00A726FD" w:rsidRPr="0048634B" w:rsidRDefault="00A726FD" w:rsidP="00A726FD">
      <w:pPr>
        <w:tabs>
          <w:tab w:val="left" w:pos="3203"/>
        </w:tabs>
        <w:jc w:val="left"/>
      </w:pPr>
      <w:bookmarkStart w:id="107" w:name="Google_cloud_n_d_Job_search"/>
      <w:bookmarkEnd w:id="107"/>
      <w:r w:rsidRPr="00A726FD">
        <w:rPr>
          <w:lang w:val="en-US"/>
        </w:rPr>
        <w:t xml:space="preserve">Google Cloud. (n.d.). </w:t>
      </w:r>
      <w:r w:rsidRPr="00A726FD">
        <w:rPr>
          <w:i/>
          <w:iCs/>
          <w:lang w:val="en-US"/>
        </w:rPr>
        <w:t>Job search API Basics (v3)</w:t>
      </w:r>
      <w:r w:rsidRPr="00A726FD">
        <w:rPr>
          <w:lang w:val="en-US"/>
        </w:rPr>
        <w:t xml:space="preserve">. </w:t>
      </w:r>
      <w:hyperlink r:id="rId77"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765852DD" w14:textId="77777777" w:rsidR="00A726FD" w:rsidRPr="0048634B" w:rsidRDefault="00A726FD" w:rsidP="00A726FD">
      <w:pPr>
        <w:tabs>
          <w:tab w:val="left" w:pos="3203"/>
        </w:tabs>
        <w:jc w:val="left"/>
      </w:pPr>
      <w:bookmarkStart w:id="108" w:name="Google_2025_Job_posting"/>
      <w:bookmarkEnd w:id="108"/>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78"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356FD3CF" w14:textId="77777777" w:rsidR="00A726FD" w:rsidRDefault="00A726FD" w:rsidP="00A726FD">
      <w:pPr>
        <w:tabs>
          <w:tab w:val="left" w:pos="3203"/>
        </w:tabs>
        <w:jc w:val="left"/>
        <w:rPr>
          <w:lang w:val="en-US"/>
        </w:rPr>
      </w:pPr>
      <w:bookmarkStart w:id="109" w:name="Google_n_d_have_your_job_postings"/>
      <w:bookmarkEnd w:id="109"/>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79"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22188761" w14:textId="77777777" w:rsidR="00D06440" w:rsidRPr="00D06440" w:rsidRDefault="00D06440" w:rsidP="00D06440">
      <w:bookmarkStart w:id="110" w:name="Fried_2021_15_июня_Supreme_Court"/>
      <w:bookmarkEnd w:id="11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D06440">
        <w:t xml:space="preserve">. </w:t>
      </w:r>
      <w:hyperlink r:id="rId80" w:history="1">
        <w:r w:rsidRPr="003D29EB">
          <w:rPr>
            <w:rStyle w:val="Hyperlink"/>
            <w:lang w:val="en-US"/>
          </w:rPr>
          <w:t>https</w:t>
        </w:r>
        <w:r w:rsidRPr="00D06440">
          <w:rPr>
            <w:rStyle w:val="Hyperlink"/>
          </w:rPr>
          <w:t>://</w:t>
        </w:r>
        <w:r w:rsidRPr="003D29EB">
          <w:rPr>
            <w:rStyle w:val="Hyperlink"/>
            <w:lang w:val="en-US"/>
          </w:rPr>
          <w:t>www</w:t>
        </w:r>
        <w:r w:rsidRPr="00D06440">
          <w:rPr>
            <w:rStyle w:val="Hyperlink"/>
          </w:rPr>
          <w:t>.</w:t>
        </w:r>
        <w:proofErr w:type="spellStart"/>
        <w:r w:rsidRPr="003D29EB">
          <w:rPr>
            <w:rStyle w:val="Hyperlink"/>
            <w:lang w:val="en-US"/>
          </w:rPr>
          <w:t>axios</w:t>
        </w:r>
        <w:proofErr w:type="spellEnd"/>
        <w:r w:rsidRPr="00D06440">
          <w:rPr>
            <w:rStyle w:val="Hyperlink"/>
          </w:rPr>
          <w:t>.</w:t>
        </w:r>
        <w:r w:rsidRPr="003D29EB">
          <w:rPr>
            <w:rStyle w:val="Hyperlink"/>
            <w:lang w:val="en-US"/>
          </w:rPr>
          <w:t>com</w:t>
        </w:r>
        <w:r w:rsidRPr="00D06440">
          <w:rPr>
            <w:rStyle w:val="Hyperlink"/>
          </w:rPr>
          <w:t>/2021/06/15/</w:t>
        </w:r>
        <w:r w:rsidRPr="003D29EB">
          <w:rPr>
            <w:rStyle w:val="Hyperlink"/>
            <w:lang w:val="en-US"/>
          </w:rPr>
          <w:t>supreme</w:t>
        </w:r>
        <w:r w:rsidRPr="00D06440">
          <w:rPr>
            <w:rStyle w:val="Hyperlink"/>
          </w:rPr>
          <w:t>-</w:t>
        </w:r>
        <w:r w:rsidRPr="003D29EB">
          <w:rPr>
            <w:rStyle w:val="Hyperlink"/>
            <w:lang w:val="en-US"/>
          </w:rPr>
          <w:t>court</w:t>
        </w:r>
        <w:r w:rsidRPr="00D06440">
          <w:rPr>
            <w:rStyle w:val="Hyperlink"/>
          </w:rPr>
          <w:t>-</w:t>
        </w:r>
        <w:proofErr w:type="spellStart"/>
        <w:r w:rsidRPr="003D29EB">
          <w:rPr>
            <w:rStyle w:val="Hyperlink"/>
            <w:lang w:val="en-US"/>
          </w:rPr>
          <w:t>linkedin</w:t>
        </w:r>
        <w:proofErr w:type="spellEnd"/>
        <w:r w:rsidRPr="00D06440">
          <w:rPr>
            <w:rStyle w:val="Hyperlink"/>
          </w:rPr>
          <w:t>-</w:t>
        </w:r>
        <w:r w:rsidRPr="003D29EB">
          <w:rPr>
            <w:rStyle w:val="Hyperlink"/>
            <w:lang w:val="en-US"/>
          </w:rPr>
          <w:t>data</w:t>
        </w:r>
        <w:r w:rsidRPr="00D06440">
          <w:rPr>
            <w:rStyle w:val="Hyperlink"/>
          </w:rPr>
          <w:t>-</w:t>
        </w:r>
        <w:r w:rsidRPr="003D29EB">
          <w:rPr>
            <w:rStyle w:val="Hyperlink"/>
            <w:lang w:val="en-US"/>
          </w:rPr>
          <w:t>scraper</w:t>
        </w:r>
      </w:hyperlink>
    </w:p>
    <w:p w14:paraId="220E6131" w14:textId="77777777" w:rsidR="00D06440" w:rsidRDefault="00D06440" w:rsidP="00D06440">
      <w:bookmarkStart w:id="111" w:name="Haller_2025_28_марта_Scraping_Isnt_sourc"/>
      <w:bookmarkEnd w:id="111"/>
      <w:r w:rsidRPr="00D06440">
        <w:rPr>
          <w:lang w:val="en-US"/>
        </w:rPr>
        <w:lastRenderedPageBreak/>
        <w:t>Haller</w:t>
      </w:r>
      <w:r w:rsidRPr="00D06440">
        <w:t xml:space="preserve">, </w:t>
      </w:r>
      <w:r w:rsidRPr="00D06440">
        <w:rPr>
          <w:lang w:val="en-US"/>
        </w:rPr>
        <w:t>S</w:t>
      </w:r>
      <w:r w:rsidRPr="00D06440">
        <w:t>. (2025, 28</w:t>
      </w:r>
      <w:r>
        <w:t xml:space="preserve"> марта</w:t>
      </w:r>
      <w:r w:rsidRPr="00D06440">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81" w:history="1">
        <w:r w:rsidRPr="003D29EB">
          <w:rPr>
            <w:rStyle w:val="Hyperlink"/>
          </w:rPr>
          <w:t>https://www.tracker-rms.com/blog/scraping-isnt-sourcing-the-hidden-risks-of-using-data-extraction-tools/</w:t>
        </w:r>
      </w:hyperlink>
    </w:p>
    <w:p w14:paraId="3B0E2389" w14:textId="21B9500B" w:rsidR="00C34280" w:rsidRDefault="00C34280" w:rsidP="00C34280">
      <w:pPr>
        <w:tabs>
          <w:tab w:val="left" w:pos="3203"/>
        </w:tabs>
        <w:jc w:val="left"/>
        <w:rPr>
          <w:lang w:val="en-US"/>
        </w:rPr>
      </w:pPr>
      <w:bookmarkStart w:id="112" w:name="Artificial_Analysis_n_d_GPT_4o"/>
      <w:bookmarkEnd w:id="112"/>
      <w:r w:rsidRPr="00C34280">
        <w:rPr>
          <w:lang w:val="en-US"/>
        </w:rPr>
        <w:t xml:space="preserve">Artificial Analysis. (n.d.). </w:t>
      </w:r>
      <w:r w:rsidRPr="00C34280">
        <w:rPr>
          <w:i/>
          <w:iCs/>
          <w:lang w:val="en-US"/>
        </w:rPr>
        <w:t>GPT-4o (Nov ’24) vs Gemini 1.5 Pro (Sep ’24)</w:t>
      </w:r>
      <w:r w:rsidRPr="00C34280">
        <w:rPr>
          <w:lang w:val="en-US"/>
        </w:rPr>
        <w:t xml:space="preserve">. </w:t>
      </w:r>
      <w:hyperlink r:id="rId82" w:history="1">
        <w:r w:rsidRPr="00C44F63">
          <w:rPr>
            <w:rStyle w:val="Hyperlink"/>
            <w:lang w:val="en-US"/>
          </w:rPr>
          <w:t>https://artificialanalysis.ai/models/comparisons/gpt-4o-vs-gemini-1-5-pro</w:t>
        </w:r>
      </w:hyperlink>
    </w:p>
    <w:p w14:paraId="3380CA12" w14:textId="6DF8DC66" w:rsidR="00C34280" w:rsidRDefault="00C34280" w:rsidP="00C34280">
      <w:pPr>
        <w:tabs>
          <w:tab w:val="left" w:pos="3203"/>
        </w:tabs>
        <w:jc w:val="left"/>
        <w:rPr>
          <w:lang w:val="en-US"/>
        </w:rPr>
      </w:pPr>
      <w:bookmarkStart w:id="113" w:name="Chou_Dunlap_Chiang_et_al_2024_27_июня"/>
      <w:bookmarkEnd w:id="113"/>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83" w:history="1">
        <w:r w:rsidRPr="00C44F63">
          <w:rPr>
            <w:rStyle w:val="Hyperlink"/>
            <w:lang w:val="en-US"/>
          </w:rPr>
          <w:t>https://lmsys.org/blog/2024-06-27-multimodal/</w:t>
        </w:r>
      </w:hyperlink>
    </w:p>
    <w:p w14:paraId="1AEB2D17" w14:textId="27FF4172" w:rsidR="00C34280" w:rsidRPr="005E6B3C" w:rsidRDefault="00C34280" w:rsidP="00C34280">
      <w:pPr>
        <w:tabs>
          <w:tab w:val="left" w:pos="3203"/>
        </w:tabs>
        <w:jc w:val="left"/>
      </w:pPr>
      <w:bookmarkStart w:id="114" w:name="LLM_Stats_n_d_GPT_4o_vs_Gemini"/>
      <w:bookmarkEnd w:id="114"/>
      <w:r w:rsidRPr="00C34280">
        <w:rPr>
          <w:lang w:val="en-US"/>
        </w:rPr>
        <w:t xml:space="preserve">LLM Stats. (n.d.). </w:t>
      </w:r>
      <w:r w:rsidRPr="00C34280">
        <w:rPr>
          <w:i/>
          <w:iCs/>
          <w:lang w:val="en-US"/>
        </w:rPr>
        <w:t>GPT-4o vs Gemini 1.5 Pro</w:t>
      </w:r>
      <w:r w:rsidRPr="00C34280">
        <w:rPr>
          <w:lang w:val="en-US"/>
        </w:rPr>
        <w:t xml:space="preserve">. </w:t>
      </w:r>
      <w:hyperlink r:id="rId84"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41D45F92" w14:textId="5BA79494" w:rsidR="00C34280" w:rsidRDefault="00C34280" w:rsidP="00C34280">
      <w:pPr>
        <w:tabs>
          <w:tab w:val="left" w:pos="3203"/>
        </w:tabs>
        <w:jc w:val="left"/>
        <w:rPr>
          <w:lang w:val="en-US"/>
        </w:rPr>
      </w:pPr>
      <w:bookmarkStart w:id="115" w:name="LMArena_2025_Vision_Arena"/>
      <w:bookmarkEnd w:id="115"/>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85" w:history="1">
        <w:r w:rsidRPr="00C44F63">
          <w:rPr>
            <w:rStyle w:val="Hyperlink"/>
            <w:lang w:val="en-US"/>
          </w:rPr>
          <w:t>https://lmarena.ai/leaderboard/vision</w:t>
        </w:r>
      </w:hyperlink>
    </w:p>
    <w:p w14:paraId="587B9138" w14:textId="5813A7BA" w:rsidR="00DD3130" w:rsidRDefault="00C34280" w:rsidP="00DD3130">
      <w:pPr>
        <w:tabs>
          <w:tab w:val="left" w:pos="3203"/>
        </w:tabs>
        <w:jc w:val="left"/>
        <w:rPr>
          <w:lang w:val="en-US"/>
        </w:rPr>
      </w:pPr>
      <w:bookmarkStart w:id="116" w:name="Xu_Mai_Liang_20_марта_2025_HELM"/>
      <w:bookmarkEnd w:id="116"/>
      <w:r w:rsidRPr="00C34280">
        <w:rPr>
          <w:lang w:val="en-US"/>
        </w:rPr>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6" w:history="1">
        <w:r w:rsidRPr="00C44F63">
          <w:rPr>
            <w:rStyle w:val="Hyperlink"/>
            <w:lang w:val="en-US"/>
          </w:rPr>
          <w:t>https://crfm.stanford.edu/2025/03/20/helm-capabilities.html</w:t>
        </w:r>
      </w:hyperlink>
    </w:p>
    <w:p w14:paraId="6FA6A85C" w14:textId="77777777" w:rsidR="00C34280" w:rsidRDefault="00C34280" w:rsidP="00DD3130">
      <w:pPr>
        <w:tabs>
          <w:tab w:val="left" w:pos="3203"/>
        </w:tabs>
        <w:jc w:val="left"/>
        <w:rPr>
          <w:lang w:val="en-US"/>
        </w:rPr>
      </w:pPr>
    </w:p>
    <w:p w14:paraId="61272E70" w14:textId="77777777" w:rsidR="00C34280" w:rsidRPr="00C34280" w:rsidRDefault="00C34280" w:rsidP="00DD3130">
      <w:pPr>
        <w:tabs>
          <w:tab w:val="left" w:pos="3203"/>
        </w:tabs>
        <w:jc w:val="left"/>
        <w:rPr>
          <w:lang w:val="en-US"/>
        </w:rPr>
      </w:pPr>
    </w:p>
    <w:p w14:paraId="4C8D4ED5" w14:textId="122AE55C" w:rsidR="001E28C1" w:rsidRPr="003F4AB6" w:rsidRDefault="001E28C1" w:rsidP="00C90AC8">
      <w:pPr>
        <w:tabs>
          <w:tab w:val="left" w:pos="3203"/>
        </w:tabs>
        <w:jc w:val="left"/>
      </w:pPr>
      <w:bookmarkStart w:id="117" w:name="Яндекс_Практикум_2024_03_06_Android"/>
      <w:bookmarkStart w:id="118" w:name="Яндекс_Практикум_2024_10_06_iOS"/>
      <w:bookmarkEnd w:id="117"/>
      <w:bookmarkEnd w:id="118"/>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19" w:name="_Toc193715156"/>
      <w:r w:rsidRPr="009663C4">
        <w:lastRenderedPageBreak/>
        <w:t>ПРИЛОЖЕНИ</w:t>
      </w:r>
      <w:r w:rsidR="00CC72B6" w:rsidRPr="009663C4">
        <w:t>Я</w:t>
      </w:r>
      <w:bookmarkEnd w:id="119"/>
    </w:p>
    <w:p w14:paraId="0947AA34" w14:textId="5E7B8712" w:rsidR="00BF1866" w:rsidRPr="009663C4" w:rsidRDefault="00E01BAE" w:rsidP="00A63EEF">
      <w:pPr>
        <w:pStyle w:val="Heading2"/>
        <w:spacing w:before="360" w:after="360"/>
        <w:jc w:val="right"/>
      </w:pPr>
      <w:bookmarkStart w:id="120" w:name="Приложение_1_Полный_список_стран"/>
      <w:bookmarkStart w:id="121" w:name="_Toc193715157"/>
      <w:bookmarkEnd w:id="120"/>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21"/>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22" w:name="_Приложение_2._Директории"/>
      <w:bookmarkStart w:id="123" w:name="_Toc193715158"/>
      <w:bookmarkEnd w:id="122"/>
      <w:r w:rsidRPr="009663C4">
        <w:lastRenderedPageBreak/>
        <w:t xml:space="preserve">Приложение </w:t>
      </w:r>
      <w:r w:rsidR="003C5727" w:rsidRPr="009663C4">
        <w:t>2</w:t>
      </w:r>
      <w:r w:rsidRPr="009663C4">
        <w:t>. Директории с вакансиями</w:t>
      </w:r>
      <w:bookmarkEnd w:id="123"/>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24" w:name="_Приложение_3._Итоговый"/>
      <w:bookmarkStart w:id="125" w:name="_Toc193715159"/>
      <w:bookmarkEnd w:id="124"/>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25"/>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26" w:name="_Приложение_2._Промпт"/>
      <w:bookmarkStart w:id="127" w:name="_Приложение_3._Промпт"/>
      <w:bookmarkStart w:id="128" w:name="_Toc193715160"/>
      <w:bookmarkEnd w:id="126"/>
      <w:bookmarkEnd w:id="127"/>
      <w:r w:rsidRPr="009663C4">
        <w:t xml:space="preserve">Приложение </w:t>
      </w:r>
      <w:r w:rsidR="005262E1" w:rsidRPr="009663C4">
        <w:t>4</w:t>
      </w:r>
      <w:r w:rsidRPr="009663C4">
        <w:t>. Промпт для разбиения вакансий на логические части</w:t>
      </w:r>
      <w:bookmarkEnd w:id="128"/>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29" w:name="_Приложение_5._Пример"/>
      <w:bookmarkEnd w:id="129"/>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30" w:name="_Приложение_6._Промпт"/>
      <w:bookmarkEnd w:id="130"/>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31" w:name="_Приложение_7._Чёрный"/>
      <w:bookmarkEnd w:id="131"/>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6AB3D" w14:textId="77777777" w:rsidR="00103160" w:rsidRDefault="00103160" w:rsidP="0095343D">
      <w:pPr>
        <w:spacing w:after="0" w:line="240" w:lineRule="auto"/>
      </w:pPr>
      <w:r>
        <w:separator/>
      </w:r>
    </w:p>
  </w:endnote>
  <w:endnote w:type="continuationSeparator" w:id="0">
    <w:p w14:paraId="6A8B079E" w14:textId="77777777" w:rsidR="00103160" w:rsidRDefault="00103160"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FC776" w14:textId="77777777" w:rsidR="00103160" w:rsidRDefault="00103160" w:rsidP="0095343D">
      <w:pPr>
        <w:spacing w:after="0" w:line="240" w:lineRule="auto"/>
      </w:pPr>
      <w:r>
        <w:separator/>
      </w:r>
    </w:p>
  </w:footnote>
  <w:footnote w:type="continuationSeparator" w:id="0">
    <w:p w14:paraId="4004F2BD" w14:textId="77777777" w:rsidR="00103160" w:rsidRDefault="00103160"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65B"/>
    <w:rsid w:val="007E0D6F"/>
    <w:rsid w:val="007E0F11"/>
    <w:rsid w:val="007E113A"/>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0AB"/>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125"/>
    <w:rsid w:val="00C52212"/>
    <w:rsid w:val="00C525B8"/>
    <w:rsid w:val="00C52BF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978"/>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6D7"/>
    <w:rsid w:val="00E75817"/>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027"/>
    <w:rsid w:val="00FA5B8C"/>
    <w:rsid w:val="00FA5C5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84" Type="http://schemas.openxmlformats.org/officeDocument/2006/relationships/hyperlink" Target="https://llm-stats.com/models/compare/gpt-4o-2024-08-06-vs-gemini-1.5-pro" TargetMode="External"/><Relationship Id="rId89" Type="http://schemas.openxmlformats.org/officeDocument/2006/relationships/header" Target="header1.xm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74" Type="http://schemas.openxmlformats.org/officeDocument/2006/relationships/hyperlink" Target="https://www.gsma.com/mobileeconomy/wp-content/uploads/2024/02/260224-The-Mobile-Economy-2024.pdf" TargetMode="External"/><Relationship Id="rId79" Type="http://schemas.openxmlformats.org/officeDocument/2006/relationships/hyperlink" Target="https://jobs.google.com/about/"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arxiv.org/pdf/2304.02182"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hyperlink" Target="https://cloud.google.com/talent-solution/job-search/v3/docs/basics"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80" Type="http://schemas.openxmlformats.org/officeDocument/2006/relationships/hyperlink" Target="https://www.axios.com/2021/06/15/supreme-court-linkedin-data-scraper" TargetMode="External"/><Relationship Id="rId85" Type="http://schemas.openxmlformats.org/officeDocument/2006/relationships/hyperlink" Target="https://lmarena.ai/leaderboard/vision" TargetMode="Externa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yperlink" Target="https://sensortower.com/blog/2025-state-of-mobile-consumers-usd150-billion-spent-on-mobile-highlights" TargetMode="External"/><Relationship Id="rId83" Type="http://schemas.openxmlformats.org/officeDocument/2006/relationships/hyperlink" Target="https://lmsys.org/blog/2024-06-27-multimodal/"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www.jetbrains.com/lp/devecosystem-2024/" TargetMode="External"/><Relationship Id="rId78" Type="http://schemas.openxmlformats.org/officeDocument/2006/relationships/hyperlink" Target="https://developers.google.com/search/docs/appearance/structured-data/job-posting" TargetMode="External"/><Relationship Id="rId81" Type="http://schemas.openxmlformats.org/officeDocument/2006/relationships/hyperlink" Target="https://www.tracker-rms.com/blog/scraping-isnt-sourcing-the-hidden-risks-of-using-data-extraction-tools/" TargetMode="External"/><Relationship Id="rId86" Type="http://schemas.openxmlformats.org/officeDocument/2006/relationships/hyperlink" Target="https://crfm.stanford.edu/2025/03/20/helm-capabilities.html"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hyperlink" Target="https://developers.google.com/search/blog/2018/06/introducing-indexing-api-for-job" TargetMode="Externa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 Id="rId24" Type="http://schemas.openxmlformats.org/officeDocument/2006/relationships/hyperlink" Target="https://www.statista.com/statistics/218984/number-of-global-mobile-users-since-2010"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66" Type="http://schemas.openxmlformats.org/officeDocument/2006/relationships/hyperlink" Target="https://www.levels.fyi/?compare=Microsoft,Bolt%20(EU),Twilio&amp;track=Software%20Engineer"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public.tableau.com/app/profile/ivan.ireev/viz/mobile_development_stack_dashboard/Dashboard1" TargetMode="External"/><Relationship Id="rId82" Type="http://schemas.openxmlformats.org/officeDocument/2006/relationships/hyperlink" Target="https://artificialanalysis.ai/models/comparisons/gpt-4o-vs-gemini-1-5-pro" TargetMode="External"/><Relationship Id="rId19" Type="http://schemas.openxmlformats.org/officeDocument/2006/relationships/hyperlink" Target="https://modelpredict.com/language-identificatio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17845</TotalTime>
  <Pages>1</Pages>
  <Words>20763</Words>
  <Characters>118353</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4398</cp:revision>
  <cp:lastPrinted>2025-03-24T11:33:00Z</cp:lastPrinted>
  <dcterms:created xsi:type="dcterms:W3CDTF">2025-02-13T09:26:00Z</dcterms:created>
  <dcterms:modified xsi:type="dcterms:W3CDTF">2025-09-04T09:18:00Z</dcterms:modified>
</cp:coreProperties>
</file>