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 xml:space="preserve">Категория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5386F8E7" w:rsidR="00667679" w:rsidRPr="00667679" w:rsidRDefault="00667679" w:rsidP="00667679">
            <w:pPr>
              <w:spacing w:before="60" w:after="60" w:line="240" w:lineRule="auto"/>
              <w:jc w:val="center"/>
            </w:pPr>
            <w:r w:rsidRPr="00667679">
              <w:t>4</w:t>
            </w:r>
            <w:r w:rsidR="001D654E">
              <w:rPr>
                <w:lang w:val="en-US"/>
              </w:rPr>
              <w:t>,</w:t>
            </w:r>
            <w:r w:rsidRPr="00667679">
              <w:t>8</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24E2FE86" w:rsidR="001F7A66" w:rsidRPr="001F7A66" w:rsidRDefault="001F7A66" w:rsidP="001F7A66">
            <w:pPr>
              <w:spacing w:before="60" w:after="60" w:line="240" w:lineRule="auto"/>
              <w:jc w:val="center"/>
            </w:pPr>
            <w:r w:rsidRPr="001F7A66">
              <w:t>0</w:t>
            </w:r>
            <w:r>
              <w:rPr>
                <w:lang w:val="en-US"/>
              </w:rPr>
              <w:t>,</w:t>
            </w:r>
            <w:r w:rsidRPr="001F7A66">
              <w:t>4</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404A239" w:rsidR="00C404A8" w:rsidRPr="00C404A8" w:rsidRDefault="00C404A8" w:rsidP="00C404A8">
            <w:pPr>
              <w:spacing w:before="60" w:after="60" w:line="240" w:lineRule="auto"/>
              <w:jc w:val="center"/>
            </w:pPr>
            <w:r w:rsidRPr="00C404A8">
              <w:t>3</w:t>
            </w:r>
            <w:r>
              <w:rPr>
                <w:lang w:val="en-US"/>
              </w:rPr>
              <w:t>,</w:t>
            </w:r>
            <w:r w:rsidRPr="00C404A8">
              <w:t>9</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1B96F2BD"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инструменты автоматизации сборки, тестирования и поставки мобильных приложений, а также управление конвейерами автоматизации (</w:t>
      </w:r>
      <w:r w:rsidRPr="00B65EE9">
        <w:rPr>
          <w:i/>
          <w:iCs/>
          <w:lang w:val="en-US"/>
        </w:rPr>
        <w:t>pipeline</w:t>
      </w:r>
      <w:r w:rsidRPr="00B65EE9">
        <w:t xml:space="preserve">) — от подготовки артефактов до публикации и внутреннего распространения. В выборку входят универсальные серверы автоматизации (например, </w:t>
      </w:r>
      <w:r w:rsidRPr="00B65EE9">
        <w:rPr>
          <w:i/>
          <w:iCs/>
          <w:lang w:val="en-US"/>
        </w:rPr>
        <w:t>Jenkins</w:t>
      </w:r>
      <w:r w:rsidRPr="00B65EE9">
        <w:t xml:space="preserve">), специализированные решения для мобильной разработки (например, </w:t>
      </w:r>
      <w:proofErr w:type="spellStart"/>
      <w:r w:rsidRPr="00B65EE9">
        <w:rPr>
          <w:i/>
          <w:iCs/>
          <w:lang w:val="en-US"/>
        </w:rPr>
        <w:t>fastlane</w:t>
      </w:r>
      <w:proofErr w:type="spellEnd"/>
      <w:r w:rsidRPr="00B65EE9">
        <w:t xml:space="preserve">, </w:t>
      </w:r>
      <w:proofErr w:type="spellStart"/>
      <w:r w:rsidRPr="00B65EE9">
        <w:rPr>
          <w:i/>
          <w:iCs/>
          <w:lang w:val="en-US"/>
        </w:rPr>
        <w:t>Bitrise</w:t>
      </w:r>
      <w:proofErr w:type="spellEnd"/>
      <w:r w:rsidRPr="00B65EE9">
        <w:t xml:space="preserve">), интегрированные механизмы в экосистемах систем контроля версий (например, </w:t>
      </w:r>
      <w:r w:rsidRPr="00B65EE9">
        <w:rPr>
          <w:i/>
          <w:iCs/>
          <w:lang w:val="en-US"/>
        </w:rPr>
        <w:t>GitHub</w:t>
      </w:r>
      <w:r w:rsidRPr="00B65EE9">
        <w:t xml:space="preserve"> </w:t>
      </w:r>
      <w:r w:rsidRPr="00B65EE9">
        <w:rPr>
          <w:i/>
          <w:iCs/>
          <w:lang w:val="en-US"/>
        </w:rPr>
        <w:t>Actions</w:t>
      </w:r>
      <w:r w:rsidRPr="00B65EE9">
        <w:t xml:space="preserve">) и средства контейнеризации (например, </w:t>
      </w:r>
      <w:r w:rsidRPr="00B65EE9">
        <w:rPr>
          <w:i/>
          <w:iCs/>
          <w:lang w:val="en-US"/>
        </w:rPr>
        <w:t>Docker</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F2AFA98" w:rsidR="00B65EE9" w:rsidRPr="00B65EE9" w:rsidRDefault="00027268" w:rsidP="00062921">
      <w:pPr>
        <w:spacing w:before="360"/>
      </w:pPr>
      <w:r w:rsidRPr="00027268">
        <w:t xml:space="preserve">Для </w:t>
      </w:r>
      <w:r w:rsidRPr="00027268">
        <w:rPr>
          <w:b/>
          <w:bCs/>
          <w:i/>
          <w:iCs/>
        </w:rPr>
        <w:t>Android</w:t>
      </w:r>
      <w:r w:rsidRPr="00027268">
        <w:t xml:space="preserve"> наблюдается устойчивое лидерство </w:t>
      </w:r>
      <w:proofErr w:type="spellStart"/>
      <w:r w:rsidRPr="00027268">
        <w:rPr>
          <w:i/>
          <w:iCs/>
        </w:rPr>
        <w:t>Jenkins</w:t>
      </w:r>
      <w:proofErr w:type="spellEnd"/>
      <w:r w:rsidRPr="00027268">
        <w:t xml:space="preserve">; далее формируется «средний слой» из </w:t>
      </w:r>
      <w:proofErr w:type="spellStart"/>
      <w:r w:rsidRPr="00027268">
        <w:rPr>
          <w:i/>
          <w:iCs/>
        </w:rPr>
        <w:t>Bitrise</w:t>
      </w:r>
      <w:proofErr w:type="spellEnd"/>
      <w:r w:rsidRPr="00027268">
        <w:t xml:space="preserve">, </w:t>
      </w:r>
      <w:proofErr w:type="spellStart"/>
      <w:r w:rsidRPr="00027268">
        <w:rPr>
          <w:i/>
          <w:iCs/>
        </w:rPr>
        <w:t>Docker</w:t>
      </w:r>
      <w:proofErr w:type="spellEnd"/>
      <w:r w:rsidRPr="00027268">
        <w:t xml:space="preserve">, </w:t>
      </w:r>
      <w:r w:rsidRPr="00027268">
        <w:rPr>
          <w:i/>
          <w:iCs/>
        </w:rPr>
        <w:t>GitHub</w:t>
      </w:r>
      <w:r w:rsidRPr="00027268">
        <w:t xml:space="preserve"> </w:t>
      </w:r>
      <w:proofErr w:type="spellStart"/>
      <w:r w:rsidRPr="00027268">
        <w:rPr>
          <w:i/>
          <w:iCs/>
        </w:rPr>
        <w:t>Actions</w:t>
      </w:r>
      <w:proofErr w:type="spellEnd"/>
      <w:r w:rsidRPr="00027268">
        <w:t xml:space="preserve"> и </w:t>
      </w:r>
      <w:proofErr w:type="spellStart"/>
      <w:r w:rsidRPr="00027268">
        <w:rPr>
          <w:i/>
          <w:iCs/>
        </w:rPr>
        <w:t>fastlane</w:t>
      </w:r>
      <w:proofErr w:type="spellEnd"/>
      <w:r w:rsidRPr="00027268">
        <w:t xml:space="preserve">; </w:t>
      </w:r>
      <w:proofErr w:type="spellStart"/>
      <w:r w:rsidRPr="00027268">
        <w:rPr>
          <w:i/>
          <w:iCs/>
        </w:rPr>
        <w:t>CircleCI</w:t>
      </w:r>
      <w:proofErr w:type="spellEnd"/>
      <w:r w:rsidRPr="00027268">
        <w:t xml:space="preserve">, </w:t>
      </w:r>
      <w:r w:rsidRPr="00027268">
        <w:rPr>
          <w:i/>
          <w:iCs/>
        </w:rPr>
        <w:t>Azure</w:t>
      </w:r>
      <w:r w:rsidRPr="00027268">
        <w:t xml:space="preserve"> </w:t>
      </w:r>
      <w:proofErr w:type="spellStart"/>
      <w:r w:rsidRPr="00027268">
        <w:rPr>
          <w:i/>
          <w:iCs/>
        </w:rPr>
        <w:t>DevOps</w:t>
      </w:r>
      <w:proofErr w:type="spellEnd"/>
      <w:r w:rsidRPr="00027268">
        <w:t xml:space="preserve">, </w:t>
      </w:r>
      <w:proofErr w:type="spellStart"/>
      <w:r w:rsidRPr="00027268">
        <w:rPr>
          <w:i/>
          <w:iCs/>
        </w:rPr>
        <w:t>Bamboo</w:t>
      </w:r>
      <w:proofErr w:type="spellEnd"/>
      <w:r w:rsidRPr="00027268">
        <w:t xml:space="preserve"> и </w:t>
      </w:r>
      <w:proofErr w:type="spellStart"/>
      <w:r w:rsidRPr="00027268">
        <w:rPr>
          <w:i/>
          <w:iCs/>
        </w:rPr>
        <w:t>TeamCity</w:t>
      </w:r>
      <w:proofErr w:type="spellEnd"/>
      <w:r w:rsidRPr="00027268">
        <w:t xml:space="preserve"> присутствуют эпизодически. Для </w:t>
      </w:r>
      <w:r w:rsidRPr="00027268">
        <w:rPr>
          <w:b/>
          <w:bCs/>
          <w:i/>
          <w:iCs/>
        </w:rPr>
        <w:t>iOS</w:t>
      </w:r>
      <w:r w:rsidRPr="00027268">
        <w:t xml:space="preserve"> структура схожа, однако в европейской подвыборке лидирует </w:t>
      </w:r>
      <w:proofErr w:type="spellStart"/>
      <w:r w:rsidRPr="00027268">
        <w:rPr>
          <w:i/>
          <w:iCs/>
        </w:rPr>
        <w:t>fastlane</w:t>
      </w:r>
      <w:proofErr w:type="spellEnd"/>
      <w:r w:rsidRPr="00027268">
        <w:t xml:space="preserve"> с последующим </w:t>
      </w:r>
      <w:proofErr w:type="spellStart"/>
      <w:r w:rsidRPr="00027268">
        <w:rPr>
          <w:i/>
          <w:iCs/>
        </w:rPr>
        <w:t>Jenkins</w:t>
      </w:r>
      <w:proofErr w:type="spellEnd"/>
      <w:r w:rsidRPr="00027268">
        <w:t xml:space="preserve">, тогда как в североамериканской — </w:t>
      </w:r>
      <w:proofErr w:type="spellStart"/>
      <w:r w:rsidRPr="00027268">
        <w:rPr>
          <w:i/>
          <w:iCs/>
        </w:rPr>
        <w:t>Jenkins</w:t>
      </w:r>
      <w:proofErr w:type="spellEnd"/>
      <w:r w:rsidRPr="00027268">
        <w:t xml:space="preserve"> опережает </w:t>
      </w:r>
      <w:proofErr w:type="spellStart"/>
      <w:r w:rsidRPr="00027268">
        <w:rPr>
          <w:i/>
          <w:iCs/>
        </w:rPr>
        <w:t>fastlane</w:t>
      </w:r>
      <w:proofErr w:type="spellEnd"/>
      <w:r w:rsidRPr="00027268">
        <w:t xml:space="preserve">; </w:t>
      </w:r>
      <w:proofErr w:type="spellStart"/>
      <w:r w:rsidRPr="00027268">
        <w:rPr>
          <w:i/>
          <w:iCs/>
        </w:rPr>
        <w:t>Bitrise</w:t>
      </w:r>
      <w:proofErr w:type="spellEnd"/>
      <w:r w:rsidRPr="00027268">
        <w:t xml:space="preserve">, </w:t>
      </w:r>
      <w:proofErr w:type="spellStart"/>
      <w:r w:rsidRPr="00027268">
        <w:rPr>
          <w:i/>
          <w:iCs/>
        </w:rPr>
        <w:t>CircleCI</w:t>
      </w:r>
      <w:proofErr w:type="spellEnd"/>
      <w:r w:rsidRPr="00027268">
        <w:t xml:space="preserve"> и </w:t>
      </w:r>
      <w:r w:rsidRPr="00027268">
        <w:rPr>
          <w:i/>
          <w:iCs/>
        </w:rPr>
        <w:t>GitHub</w:t>
      </w:r>
      <w:r w:rsidRPr="00027268">
        <w:t xml:space="preserve"> </w:t>
      </w:r>
      <w:proofErr w:type="spellStart"/>
      <w:r w:rsidRPr="00027268">
        <w:rPr>
          <w:i/>
          <w:iCs/>
        </w:rPr>
        <w:t>Actions</w:t>
      </w:r>
      <w:proofErr w:type="spellEnd"/>
      <w:r w:rsidRPr="00027268">
        <w:t xml:space="preserve"> формируют следующий эшелон. Платформенные облачные сервисы (</w:t>
      </w:r>
      <w:r w:rsidRPr="00027268">
        <w:rPr>
          <w:i/>
          <w:iCs/>
        </w:rPr>
        <w:t>Xcode</w:t>
      </w:r>
      <w:r w:rsidRPr="00027268">
        <w:t xml:space="preserve"> </w:t>
      </w:r>
      <w:proofErr w:type="spellStart"/>
      <w:r w:rsidRPr="00027268">
        <w:rPr>
          <w:i/>
          <w:iCs/>
        </w:rPr>
        <w:t>Cloud</w:t>
      </w:r>
      <w:proofErr w:type="spellEnd"/>
      <w:r w:rsidRPr="00027268">
        <w:t xml:space="preserve">, </w:t>
      </w:r>
      <w:proofErr w:type="spellStart"/>
      <w:r w:rsidRPr="00027268">
        <w:rPr>
          <w:i/>
          <w:iCs/>
        </w:rPr>
        <w:t>Unity</w:t>
      </w:r>
      <w:proofErr w:type="spellEnd"/>
      <w:r w:rsidRPr="00027268">
        <w:t xml:space="preserve"> </w:t>
      </w:r>
      <w:proofErr w:type="spellStart"/>
      <w:r w:rsidRPr="00027268">
        <w:rPr>
          <w:i/>
          <w:iCs/>
        </w:rPr>
        <w:t>Cloud</w:t>
      </w:r>
      <w:proofErr w:type="spellEnd"/>
      <w:r w:rsidRPr="00027268">
        <w:t xml:space="preserve"> </w:t>
      </w:r>
      <w:proofErr w:type="spellStart"/>
      <w:r w:rsidRPr="00027268">
        <w:rPr>
          <w:i/>
          <w:iCs/>
        </w:rPr>
        <w:t>Build</w:t>
      </w:r>
      <w:proofErr w:type="spellEnd"/>
      <w:r w:rsidRPr="00027268">
        <w:t>) встречаются точечно и не меняют общей картины доминирования универсальных систем общего назначения при заметной роли специализированных мобильных инструментов.</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lastRenderedPageBreak/>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77777777" w:rsidR="00D22B89" w:rsidRPr="00D22B89" w:rsidRDefault="00D22B89" w:rsidP="00D22B89">
            <w:pPr>
              <w:spacing w:before="60" w:after="60" w:line="240" w:lineRule="auto"/>
              <w:jc w:val="center"/>
            </w:pPr>
            <w:r w:rsidRPr="00D22B89">
              <w:t>13.81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77777777" w:rsidR="00D22B89" w:rsidRPr="00D22B89" w:rsidRDefault="00D22B89" w:rsidP="00D22B89">
            <w:pPr>
              <w:spacing w:before="60" w:after="60" w:line="240" w:lineRule="auto"/>
              <w:jc w:val="center"/>
            </w:pPr>
            <w:r w:rsidRPr="00D22B89">
              <w:t>13.84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77777777" w:rsidR="00D22B89" w:rsidRPr="00D22B89" w:rsidRDefault="00D22B89" w:rsidP="00D22B89">
            <w:pPr>
              <w:spacing w:before="60" w:after="60" w:line="240" w:lineRule="auto"/>
              <w:jc w:val="center"/>
            </w:pPr>
            <w:r w:rsidRPr="00D22B89">
              <w:t>8.72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77777777" w:rsidR="00D22B89" w:rsidRPr="00D22B89" w:rsidRDefault="00D22B89" w:rsidP="00D22B89">
            <w:pPr>
              <w:spacing w:before="60" w:after="60" w:line="240" w:lineRule="auto"/>
              <w:jc w:val="center"/>
            </w:pPr>
            <w:r w:rsidRPr="00D22B89">
              <w:t>13.49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77777777" w:rsidR="00D22B89" w:rsidRPr="00D22B89" w:rsidRDefault="00D22B89" w:rsidP="00D22B89">
            <w:pPr>
              <w:spacing w:before="60" w:after="60" w:line="240" w:lineRule="auto"/>
              <w:jc w:val="center"/>
            </w:pPr>
            <w:r w:rsidRPr="00D22B89">
              <w:t>5.23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7777777" w:rsidR="00D22B89" w:rsidRPr="00D22B89" w:rsidRDefault="00D22B89" w:rsidP="00D22B89">
            <w:pPr>
              <w:spacing w:before="60" w:after="60" w:line="240" w:lineRule="auto"/>
              <w:jc w:val="center"/>
            </w:pPr>
            <w:r w:rsidRPr="00D22B89">
              <w:t>2.77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77777777" w:rsidR="00D22B89" w:rsidRPr="00D22B89" w:rsidRDefault="00D22B89" w:rsidP="00D22B89">
            <w:pPr>
              <w:spacing w:before="60" w:after="60" w:line="240" w:lineRule="auto"/>
              <w:jc w:val="center"/>
            </w:pPr>
            <w:r w:rsidRPr="00D22B89">
              <w:t>0.44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77777777" w:rsidR="00D22B89" w:rsidRPr="00D22B89" w:rsidRDefault="00D22B89" w:rsidP="00D22B89">
            <w:pPr>
              <w:spacing w:before="60" w:after="60" w:line="240" w:lineRule="auto"/>
              <w:jc w:val="center"/>
            </w:pPr>
            <w:r w:rsidRPr="00D22B89">
              <w:t>8.48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7777777" w:rsidR="00D22B89" w:rsidRPr="00D22B89" w:rsidRDefault="00D22B89" w:rsidP="00D22B89">
            <w:pPr>
              <w:spacing w:before="60" w:after="60" w:line="240" w:lineRule="auto"/>
              <w:jc w:val="center"/>
            </w:pPr>
            <w:r w:rsidRPr="00D22B89">
              <w:t>14.02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77777777" w:rsidR="00D22B89" w:rsidRPr="00D22B89" w:rsidRDefault="00D22B89" w:rsidP="00D22B89">
            <w:pPr>
              <w:spacing w:before="60" w:after="60" w:line="240" w:lineRule="auto"/>
              <w:jc w:val="center"/>
            </w:pPr>
            <w:r w:rsidRPr="00D22B89">
              <w:t>8.34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77777777" w:rsidR="00D22B89" w:rsidRPr="00D22B89" w:rsidRDefault="00D22B89" w:rsidP="00D22B89">
            <w:pPr>
              <w:spacing w:before="60" w:after="60" w:line="240" w:lineRule="auto"/>
              <w:jc w:val="center"/>
            </w:pPr>
            <w:r w:rsidRPr="00D22B89">
              <w:t>5.54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77777777" w:rsidR="00D22B89" w:rsidRPr="00D22B89" w:rsidRDefault="00D22B89" w:rsidP="00D22B89">
            <w:pPr>
              <w:spacing w:before="60" w:after="60" w:line="240" w:lineRule="auto"/>
              <w:jc w:val="center"/>
            </w:pPr>
            <w:r w:rsidRPr="00D22B89">
              <w:t>5.25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77777777" w:rsidR="00D22B89" w:rsidRPr="00D22B89" w:rsidRDefault="00D22B89" w:rsidP="00D22B89">
            <w:pPr>
              <w:spacing w:before="60" w:after="60" w:line="240" w:lineRule="auto"/>
              <w:jc w:val="center"/>
            </w:pPr>
            <w:r w:rsidRPr="00D22B89">
              <w:t>1.48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77777777" w:rsidR="00D22B89" w:rsidRPr="00D22B89" w:rsidRDefault="00D22B89" w:rsidP="00D22B89">
            <w:pPr>
              <w:spacing w:before="60" w:after="60" w:line="240" w:lineRule="auto"/>
              <w:jc w:val="center"/>
            </w:pPr>
            <w:r w:rsidRPr="00D22B89">
              <w:t>0.27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w:t>
      </w:r>
      <w:r w:rsidRPr="006469FB">
        <w:lastRenderedPageBreak/>
        <w:t>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77777777" w:rsidR="00696C91" w:rsidRPr="00696C91" w:rsidRDefault="00696C91" w:rsidP="00696C91">
            <w:pPr>
              <w:spacing w:before="60" w:after="60" w:line="240" w:lineRule="auto"/>
              <w:jc w:val="center"/>
            </w:pPr>
            <w:r w:rsidRPr="00696C91">
              <w:t>9.59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77777777" w:rsidR="00696C91" w:rsidRPr="00696C91" w:rsidRDefault="00696C91" w:rsidP="00696C91">
            <w:pPr>
              <w:spacing w:before="60" w:after="60" w:line="240" w:lineRule="auto"/>
              <w:jc w:val="center"/>
            </w:pPr>
            <w:r w:rsidRPr="00696C91">
              <w:t>7.27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77777777" w:rsidR="00696C91" w:rsidRPr="00696C91" w:rsidRDefault="00696C91" w:rsidP="00696C91">
            <w:pPr>
              <w:spacing w:before="60" w:after="60" w:line="240" w:lineRule="auto"/>
              <w:jc w:val="center"/>
            </w:pPr>
            <w:r w:rsidRPr="00696C91">
              <w:t>0.69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77777777" w:rsidR="00696C91" w:rsidRPr="00696C91" w:rsidRDefault="00696C91" w:rsidP="00696C91">
            <w:pPr>
              <w:spacing w:before="60" w:after="60" w:line="240" w:lineRule="auto"/>
              <w:jc w:val="center"/>
            </w:pPr>
            <w:r w:rsidRPr="00696C91">
              <w:t>9.56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77777777" w:rsidR="00696C91" w:rsidRPr="00696C91" w:rsidRDefault="00696C91" w:rsidP="00696C91">
            <w:pPr>
              <w:spacing w:before="60" w:after="60" w:line="240" w:lineRule="auto"/>
              <w:jc w:val="center"/>
            </w:pPr>
            <w:r w:rsidRPr="00696C91">
              <w:t>8.12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77777777" w:rsidR="00696C91" w:rsidRPr="00696C91" w:rsidRDefault="00696C91" w:rsidP="00696C91">
            <w:pPr>
              <w:spacing w:before="60" w:after="60" w:line="240" w:lineRule="auto"/>
              <w:jc w:val="center"/>
            </w:pPr>
            <w:r w:rsidRPr="00696C91">
              <w:t>1.08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77777777" w:rsidR="00696C91" w:rsidRPr="00696C91" w:rsidRDefault="00696C91" w:rsidP="00696C91">
            <w:pPr>
              <w:spacing w:before="60" w:after="60" w:line="240" w:lineRule="auto"/>
              <w:jc w:val="center"/>
            </w:pPr>
            <w:r w:rsidRPr="00696C91">
              <w:t>1.48</w:t>
            </w:r>
          </w:p>
        </w:tc>
      </w:tr>
    </w:tbl>
    <w:p w14:paraId="5274BC25" w14:textId="2653D622" w:rsidR="0027075C" w:rsidRPr="00945A06" w:rsidRDefault="00696C91" w:rsidP="00696C91">
      <w:pPr>
        <w:spacing w:before="360" w:after="160"/>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lastRenderedPageBreak/>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7777777" w:rsidR="00393277" w:rsidRPr="00393277" w:rsidRDefault="00393277" w:rsidP="00393277">
            <w:pPr>
              <w:spacing w:before="60" w:after="60" w:line="240" w:lineRule="auto"/>
              <w:jc w:val="center"/>
            </w:pPr>
            <w:r w:rsidRPr="00393277">
              <w:t>0.67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Pr="00945A06" w:rsidRDefault="0040644B" w:rsidP="00393277">
      <w:pPr>
        <w:spacing w:before="360"/>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 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 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0C2EA8D4"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532537E8" w:rsidR="00BA2091" w:rsidRPr="00393277" w:rsidRDefault="00BA2091" w:rsidP="005061FF">
            <w:pPr>
              <w:spacing w:before="60" w:after="60" w:line="240" w:lineRule="auto"/>
              <w:jc w:val="center"/>
            </w:pPr>
            <w:r w:rsidRPr="00BA2091">
              <w:t>0.44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332B25A6" w:rsidR="00BA2091" w:rsidRPr="00393277" w:rsidRDefault="00BA2091" w:rsidP="00BA2091">
            <w:pPr>
              <w:spacing w:before="60" w:after="60" w:line="240" w:lineRule="auto"/>
              <w:jc w:val="center"/>
            </w:pPr>
            <w:r w:rsidRPr="00BA2091">
              <w:t>2.83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3459DD7" w:rsidR="00BA2091" w:rsidRPr="00393277" w:rsidRDefault="00BA2091" w:rsidP="00BA2091">
            <w:pPr>
              <w:spacing w:before="60" w:after="60" w:line="240" w:lineRule="auto"/>
              <w:jc w:val="center"/>
              <w:rPr>
                <w:lang w:val="en-US"/>
              </w:rPr>
            </w:pPr>
            <w:r w:rsidRPr="00BA2091">
              <w:rPr>
                <w:lang w:val="en-US"/>
              </w:rPr>
              <w:t>3.69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lastRenderedPageBreak/>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77777777" w:rsidR="00C27202" w:rsidRPr="00C27202" w:rsidRDefault="00C27202" w:rsidP="00C27202">
            <w:pPr>
              <w:spacing w:before="60" w:after="60" w:line="240" w:lineRule="auto"/>
              <w:jc w:val="center"/>
            </w:pPr>
            <w:r w:rsidRPr="00C27202">
              <w:t>9.45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77777777" w:rsidR="00C27202" w:rsidRPr="00C27202" w:rsidRDefault="00C27202" w:rsidP="00C27202">
            <w:pPr>
              <w:spacing w:before="60" w:after="60" w:line="240" w:lineRule="auto"/>
              <w:jc w:val="center"/>
            </w:pPr>
            <w:r w:rsidRPr="00C27202">
              <w:t>11.07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77777777" w:rsidR="00C27202" w:rsidRPr="00C27202" w:rsidRDefault="00C27202" w:rsidP="00C27202">
            <w:pPr>
              <w:spacing w:before="60" w:after="60" w:line="240" w:lineRule="auto"/>
              <w:jc w:val="center"/>
            </w:pPr>
            <w:r w:rsidRPr="00C27202">
              <w:t>0.73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77777777" w:rsidR="00C27202" w:rsidRPr="00C27202" w:rsidRDefault="00C27202" w:rsidP="00C27202">
            <w:pPr>
              <w:spacing w:before="60" w:after="60" w:line="240" w:lineRule="auto"/>
              <w:jc w:val="center"/>
            </w:pPr>
            <w:r w:rsidRPr="00C27202">
              <w:t>1.38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77777777" w:rsidR="00C27202" w:rsidRPr="00C27202" w:rsidRDefault="00C27202" w:rsidP="00C27202">
            <w:pPr>
              <w:spacing w:before="60" w:after="60" w:line="240" w:lineRule="auto"/>
              <w:jc w:val="center"/>
            </w:pPr>
            <w:r w:rsidRPr="00C27202">
              <w:t>0.15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77777777" w:rsidR="00C27202" w:rsidRPr="00C27202" w:rsidRDefault="00C27202" w:rsidP="00C27202">
            <w:pPr>
              <w:spacing w:before="60" w:after="60" w:line="240" w:lineRule="auto"/>
              <w:jc w:val="center"/>
            </w:pPr>
            <w:r w:rsidRPr="00C27202">
              <w:t>0.69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77777777" w:rsidR="00C27202" w:rsidRPr="00C27202" w:rsidRDefault="00C27202" w:rsidP="00C27202">
            <w:pPr>
              <w:spacing w:before="60" w:after="60" w:line="240" w:lineRule="auto"/>
              <w:jc w:val="center"/>
            </w:pPr>
            <w:r w:rsidRPr="00C27202">
              <w:t>0.35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77777777" w:rsidR="00C27202" w:rsidRPr="00C27202" w:rsidRDefault="00C27202" w:rsidP="00C27202">
            <w:pPr>
              <w:spacing w:before="60" w:after="60" w:line="240" w:lineRule="auto"/>
              <w:jc w:val="center"/>
            </w:pPr>
            <w:r w:rsidRPr="00C27202">
              <w:t>9.42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77777777" w:rsidR="00C27202" w:rsidRPr="00C27202" w:rsidRDefault="00C27202" w:rsidP="00C27202">
            <w:pPr>
              <w:spacing w:before="60" w:after="60" w:line="240" w:lineRule="auto"/>
              <w:jc w:val="center"/>
            </w:pPr>
            <w:r w:rsidRPr="00C27202">
              <w:t>5.17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77777777" w:rsidR="00C27202" w:rsidRPr="00C27202" w:rsidRDefault="00C27202" w:rsidP="00C27202">
            <w:pPr>
              <w:spacing w:before="60" w:after="60" w:line="240" w:lineRule="auto"/>
              <w:jc w:val="center"/>
            </w:pPr>
            <w:r w:rsidRPr="00C27202">
              <w:t>5.79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77777777" w:rsidR="00C27202" w:rsidRPr="00C27202" w:rsidRDefault="00C27202" w:rsidP="00C27202">
            <w:pPr>
              <w:spacing w:before="60" w:after="60" w:line="240" w:lineRule="auto"/>
              <w:jc w:val="center"/>
            </w:pPr>
            <w:r w:rsidRPr="00C27202">
              <w:t>2.58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77777777" w:rsidR="00C27202" w:rsidRPr="00C27202" w:rsidRDefault="00C27202" w:rsidP="00C27202">
            <w:pPr>
              <w:spacing w:before="60" w:after="60" w:line="240" w:lineRule="auto"/>
              <w:jc w:val="center"/>
            </w:pPr>
            <w:r w:rsidRPr="00C27202">
              <w:t>0.81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77777777" w:rsidR="00C27202" w:rsidRPr="00C27202" w:rsidRDefault="00C27202" w:rsidP="00C27202">
            <w:pPr>
              <w:spacing w:before="60" w:after="60" w:line="240" w:lineRule="auto"/>
              <w:jc w:val="center"/>
            </w:pPr>
            <w:r w:rsidRPr="00C27202">
              <w:t>1.48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7777777" w:rsidR="00C27202" w:rsidRPr="00C27202" w:rsidRDefault="00C27202" w:rsidP="00C27202">
            <w:pPr>
              <w:spacing w:before="60" w:after="60" w:line="240" w:lineRule="auto"/>
              <w:jc w:val="center"/>
            </w:pPr>
            <w:r w:rsidRPr="00C27202">
              <w:t>0.54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77777777" w:rsidR="00C27202" w:rsidRPr="00C27202" w:rsidRDefault="00C27202" w:rsidP="00C27202">
            <w:pPr>
              <w:spacing w:before="60" w:after="60" w:line="240" w:lineRule="auto"/>
              <w:jc w:val="center"/>
            </w:pPr>
            <w:r w:rsidRPr="00C27202">
              <w:t>0.74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77777777" w:rsidR="00C27202" w:rsidRPr="00C27202" w:rsidRDefault="00C27202" w:rsidP="00C27202">
            <w:pPr>
              <w:spacing w:before="60" w:after="60" w:line="240" w:lineRule="auto"/>
              <w:jc w:val="center"/>
            </w:pPr>
            <w:r w:rsidRPr="00C27202">
              <w:t>0.13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77777777" w:rsidR="00C27202" w:rsidRPr="00C27202" w:rsidRDefault="00C27202" w:rsidP="00C27202">
            <w:pPr>
              <w:spacing w:before="60" w:after="60" w:line="240" w:lineRule="auto"/>
              <w:jc w:val="center"/>
            </w:pPr>
            <w:r w:rsidRPr="00C27202">
              <w:t>0.74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77777777" w:rsidR="00C27202" w:rsidRPr="00C27202" w:rsidRDefault="00C27202" w:rsidP="00C27202">
            <w:pPr>
              <w:spacing w:before="60" w:after="60" w:line="240" w:lineRule="auto"/>
              <w:jc w:val="center"/>
            </w:pPr>
            <w:r w:rsidRPr="00C27202">
              <w:t>0.13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w:t>
      </w:r>
      <w:r>
        <w:lastRenderedPageBreak/>
        <w:t xml:space="preserve">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 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77777777" w:rsidR="00457267" w:rsidRPr="00457267" w:rsidRDefault="00457267" w:rsidP="00457267">
            <w:pPr>
              <w:spacing w:before="60" w:after="60" w:line="240" w:lineRule="auto"/>
              <w:jc w:val="center"/>
            </w:pPr>
            <w:r w:rsidRPr="00457267">
              <w:t>6.54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77777777" w:rsidR="00457267" w:rsidRPr="00457267" w:rsidRDefault="00457267" w:rsidP="00457267">
            <w:pPr>
              <w:spacing w:before="60" w:after="60" w:line="240" w:lineRule="auto"/>
              <w:jc w:val="center"/>
            </w:pPr>
            <w:r w:rsidRPr="00457267">
              <w:t>6.92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77777777" w:rsidR="00457267" w:rsidRPr="00457267" w:rsidRDefault="00457267" w:rsidP="00457267">
            <w:pPr>
              <w:spacing w:before="60" w:after="60" w:line="240" w:lineRule="auto"/>
              <w:jc w:val="center"/>
            </w:pPr>
            <w:r w:rsidRPr="00457267">
              <w:t>1.02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77777777" w:rsidR="00457267" w:rsidRPr="00457267" w:rsidRDefault="00457267" w:rsidP="00457267">
            <w:pPr>
              <w:spacing w:before="60" w:after="60" w:line="240" w:lineRule="auto"/>
              <w:jc w:val="center"/>
            </w:pPr>
            <w:r w:rsidRPr="00457267">
              <w:t>1.38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77777777" w:rsidR="00457267" w:rsidRPr="00457267" w:rsidRDefault="00457267" w:rsidP="00457267">
            <w:pPr>
              <w:spacing w:before="60" w:after="60" w:line="240" w:lineRule="auto"/>
              <w:jc w:val="center"/>
            </w:pPr>
            <w:r w:rsidRPr="00457267">
              <w:t>0.29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77777777" w:rsidR="00457267" w:rsidRPr="00457267" w:rsidRDefault="00457267" w:rsidP="00457267">
            <w:pPr>
              <w:spacing w:before="60" w:after="60" w:line="240" w:lineRule="auto"/>
              <w:jc w:val="center"/>
            </w:pPr>
            <w:r w:rsidRPr="00457267">
              <w:t>0.69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77777777" w:rsidR="00457267" w:rsidRPr="00457267" w:rsidRDefault="00457267" w:rsidP="00457267">
            <w:pPr>
              <w:spacing w:before="60" w:after="60" w:line="240" w:lineRule="auto"/>
              <w:jc w:val="center"/>
            </w:pPr>
            <w:r w:rsidRPr="00457267">
              <w:t>0.29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77777777" w:rsidR="00457267" w:rsidRPr="00457267" w:rsidRDefault="00457267" w:rsidP="00457267">
            <w:pPr>
              <w:spacing w:before="60" w:after="60" w:line="240" w:lineRule="auto"/>
              <w:jc w:val="center"/>
            </w:pPr>
            <w:r w:rsidRPr="00457267">
              <w:t>0.35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77777777" w:rsidR="00457267" w:rsidRPr="00457267" w:rsidRDefault="00457267" w:rsidP="00457267">
            <w:pPr>
              <w:spacing w:before="60" w:after="60" w:line="240" w:lineRule="auto"/>
              <w:jc w:val="center"/>
            </w:pPr>
            <w:r w:rsidRPr="00457267">
              <w:t>0.15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77777777" w:rsidR="00457267" w:rsidRPr="00457267" w:rsidRDefault="00457267" w:rsidP="00457267">
            <w:pPr>
              <w:spacing w:before="60" w:after="60" w:line="240" w:lineRule="auto"/>
              <w:jc w:val="center"/>
            </w:pPr>
            <w:r w:rsidRPr="00457267">
              <w:t>0.35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77777777" w:rsidR="00457267" w:rsidRPr="00457267" w:rsidRDefault="00457267" w:rsidP="00457267">
            <w:pPr>
              <w:spacing w:before="60" w:after="60" w:line="240" w:lineRule="auto"/>
              <w:jc w:val="center"/>
            </w:pPr>
            <w:r w:rsidRPr="00457267">
              <w:t>0.15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7777777" w:rsidR="00457267" w:rsidRPr="00457267" w:rsidRDefault="00457267" w:rsidP="00457267">
            <w:pPr>
              <w:spacing w:before="60" w:after="60" w:line="240" w:lineRule="auto"/>
              <w:jc w:val="center"/>
            </w:pPr>
            <w:r w:rsidRPr="00457267">
              <w:t>0.35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77777777" w:rsidR="00457267" w:rsidRPr="00457267" w:rsidRDefault="00457267" w:rsidP="00457267">
            <w:pPr>
              <w:spacing w:before="60" w:after="60" w:line="240" w:lineRule="auto"/>
              <w:jc w:val="center"/>
            </w:pPr>
            <w:r w:rsidRPr="00457267">
              <w:t>0.35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lastRenderedPageBreak/>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77777777" w:rsidR="00924426" w:rsidRPr="00924426" w:rsidRDefault="00924426" w:rsidP="00924426">
            <w:pPr>
              <w:spacing w:before="60" w:after="60" w:line="240" w:lineRule="auto"/>
              <w:jc w:val="center"/>
            </w:pPr>
            <w:r w:rsidRPr="00924426">
              <w:t>5.38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77777777" w:rsidR="00924426" w:rsidRPr="00924426" w:rsidRDefault="00924426" w:rsidP="00924426">
            <w:pPr>
              <w:spacing w:before="60" w:after="60" w:line="240" w:lineRule="auto"/>
              <w:jc w:val="center"/>
            </w:pPr>
            <w:r w:rsidRPr="00924426">
              <w:t>1.85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77777777" w:rsidR="00924426" w:rsidRPr="00924426" w:rsidRDefault="00924426" w:rsidP="00924426">
            <w:pPr>
              <w:spacing w:before="60" w:after="60" w:line="240" w:lineRule="auto"/>
              <w:jc w:val="center"/>
            </w:pPr>
            <w:r w:rsidRPr="00924426">
              <w:t>1.88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77777777" w:rsidR="00924426" w:rsidRPr="00924426" w:rsidRDefault="00924426" w:rsidP="00924426">
            <w:pPr>
              <w:spacing w:before="60" w:after="60" w:line="240" w:lineRule="auto"/>
              <w:jc w:val="center"/>
            </w:pPr>
            <w:r w:rsidRPr="00924426">
              <w:t>1.85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77777777" w:rsidR="00924426" w:rsidRPr="00924426" w:rsidRDefault="00924426" w:rsidP="00924426">
            <w:pPr>
              <w:spacing w:before="60" w:after="60" w:line="240" w:lineRule="auto"/>
              <w:jc w:val="center"/>
            </w:pPr>
            <w:r w:rsidRPr="00924426">
              <w:t>0.27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77777777" w:rsidR="00924426" w:rsidRPr="00924426" w:rsidRDefault="00924426" w:rsidP="00924426">
            <w:pPr>
              <w:spacing w:before="60" w:after="60" w:line="240" w:lineRule="auto"/>
              <w:jc w:val="center"/>
            </w:pPr>
            <w:r w:rsidRPr="00924426">
              <w:t>0.74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77777777" w:rsidR="00924426" w:rsidRPr="00924426" w:rsidRDefault="00924426" w:rsidP="00924426">
            <w:pPr>
              <w:spacing w:before="60" w:after="60" w:line="240" w:lineRule="auto"/>
              <w:jc w:val="center"/>
            </w:pPr>
            <w:r w:rsidRPr="00924426">
              <w:t>0.27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77777777" w:rsidR="00924426" w:rsidRPr="00924426" w:rsidRDefault="00924426" w:rsidP="00924426">
            <w:pPr>
              <w:spacing w:before="60" w:after="60" w:line="240" w:lineRule="auto"/>
              <w:jc w:val="center"/>
            </w:pPr>
            <w:r w:rsidRPr="00924426">
              <w:t>0.74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77777777" w:rsidR="00924426" w:rsidRPr="00924426" w:rsidRDefault="00924426" w:rsidP="00924426">
            <w:pPr>
              <w:spacing w:before="60" w:after="60" w:line="240" w:lineRule="auto"/>
              <w:jc w:val="center"/>
            </w:pPr>
            <w:r w:rsidRPr="00924426">
              <w:t>0.37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77777777" w:rsidR="00924426" w:rsidRPr="00924426" w:rsidRDefault="00924426" w:rsidP="00924426">
            <w:pPr>
              <w:spacing w:before="60" w:after="60" w:line="240" w:lineRule="auto"/>
              <w:jc w:val="center"/>
            </w:pPr>
            <w:r w:rsidRPr="00924426">
              <w:t>0.37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77777777" w:rsidR="00924426" w:rsidRPr="00924426" w:rsidRDefault="00924426" w:rsidP="00924426">
            <w:pPr>
              <w:spacing w:before="60" w:after="60" w:line="240" w:lineRule="auto"/>
              <w:jc w:val="center"/>
            </w:pPr>
            <w:r w:rsidRPr="00924426">
              <w:t>0.13</w:t>
            </w:r>
          </w:p>
        </w:tc>
        <w:tc>
          <w:tcPr>
            <w:tcW w:w="2619" w:type="dxa"/>
            <w:noWrap/>
            <w:vAlign w:val="center"/>
            <w:hideMark/>
          </w:tcPr>
          <w:p w14:paraId="3BD91973" w14:textId="389AF459" w:rsidR="00924426" w:rsidRPr="00924426" w:rsidRDefault="00924426" w:rsidP="00924426">
            <w:pPr>
              <w:spacing w:before="60" w:after="60" w:line="240" w:lineRule="auto"/>
              <w:jc w:val="left"/>
              <w:rPr>
                <w:lang w:val="en-US"/>
              </w:rPr>
            </w:pPr>
            <w:r>
              <w:rPr>
                <w:lang w:val="en-US"/>
              </w:rPr>
              <w:t>0</w:t>
            </w:r>
          </w:p>
        </w:tc>
        <w:tc>
          <w:tcPr>
            <w:tcW w:w="884" w:type="dxa"/>
            <w:noWrap/>
            <w:vAlign w:val="center"/>
            <w:hideMark/>
          </w:tcPr>
          <w:p w14:paraId="12B2345C" w14:textId="2B9CCF61" w:rsidR="00924426" w:rsidRPr="00924426" w:rsidRDefault="00924426" w:rsidP="00924426">
            <w:pPr>
              <w:spacing w:before="60" w:after="60" w:line="240" w:lineRule="auto"/>
              <w:jc w:val="center"/>
              <w:rPr>
                <w:lang w:val="en-US"/>
              </w:rPr>
            </w:pPr>
            <w:r>
              <w:rPr>
                <w:lang w:val="en-US"/>
              </w:rPr>
              <w:t>0</w:t>
            </w:r>
          </w:p>
        </w:tc>
        <w:tc>
          <w:tcPr>
            <w:tcW w:w="884" w:type="dxa"/>
            <w:noWrap/>
            <w:vAlign w:val="center"/>
            <w:hideMark/>
          </w:tcPr>
          <w:p w14:paraId="598F7042" w14:textId="39CC75EF" w:rsidR="00924426" w:rsidRPr="00924426" w:rsidRDefault="00924426" w:rsidP="00924426">
            <w:pPr>
              <w:spacing w:before="60" w:after="60" w:line="240" w:lineRule="auto"/>
              <w:jc w:val="center"/>
              <w:rPr>
                <w:lang w:val="en-US"/>
              </w:rPr>
            </w:pPr>
            <w:r>
              <w:rPr>
                <w:lang w:val="en-US"/>
              </w:rPr>
              <w:t>0</w:t>
            </w: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02043508"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lastRenderedPageBreak/>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77777777" w:rsidR="00556783" w:rsidRPr="00556783" w:rsidRDefault="00556783" w:rsidP="00556783">
            <w:pPr>
              <w:spacing w:before="60" w:after="60" w:line="240" w:lineRule="auto"/>
              <w:jc w:val="center"/>
            </w:pPr>
            <w:r w:rsidRPr="00556783">
              <w:t>23.4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77777777" w:rsidR="00556783" w:rsidRPr="00556783" w:rsidRDefault="00556783" w:rsidP="00556783">
            <w:pPr>
              <w:spacing w:before="60" w:after="60" w:line="240" w:lineRule="auto"/>
              <w:jc w:val="center"/>
            </w:pPr>
            <w:r w:rsidRPr="00556783">
              <w:t>33.91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7777777" w:rsidR="00556783" w:rsidRPr="00556783" w:rsidRDefault="00556783" w:rsidP="00556783">
            <w:pPr>
              <w:spacing w:before="60" w:after="60" w:line="240" w:lineRule="auto"/>
              <w:jc w:val="center"/>
            </w:pPr>
            <w:r w:rsidRPr="00556783">
              <w:t>7.12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7777777" w:rsidR="00556783" w:rsidRPr="00556783" w:rsidRDefault="00556783" w:rsidP="00556783">
            <w:pPr>
              <w:spacing w:before="60" w:after="60" w:line="240" w:lineRule="auto"/>
              <w:jc w:val="center"/>
            </w:pPr>
            <w:r w:rsidRPr="00556783">
              <w:t>12.8</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77777777" w:rsidR="00556783" w:rsidRPr="00556783" w:rsidRDefault="00556783" w:rsidP="00556783">
            <w:pPr>
              <w:spacing w:before="60" w:after="60" w:line="240" w:lineRule="auto"/>
              <w:jc w:val="center"/>
            </w:pPr>
            <w:r w:rsidRPr="00556783">
              <w:t>2.47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77777777" w:rsidR="00556783" w:rsidRPr="00556783" w:rsidRDefault="00556783" w:rsidP="00556783">
            <w:pPr>
              <w:spacing w:before="60" w:after="60" w:line="240" w:lineRule="auto"/>
              <w:jc w:val="center"/>
            </w:pPr>
            <w:r w:rsidRPr="00556783">
              <w:t>7.27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77777777" w:rsidR="00556783" w:rsidRPr="00556783" w:rsidRDefault="00556783" w:rsidP="00556783">
            <w:pPr>
              <w:spacing w:before="60" w:after="60" w:line="240" w:lineRule="auto"/>
              <w:jc w:val="center"/>
            </w:pPr>
            <w:r w:rsidRPr="00556783">
              <w:t>1.45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77777777" w:rsidR="00556783" w:rsidRPr="00556783" w:rsidRDefault="00556783" w:rsidP="00556783">
            <w:pPr>
              <w:spacing w:before="60" w:after="60" w:line="240" w:lineRule="auto"/>
              <w:jc w:val="center"/>
            </w:pPr>
            <w:r w:rsidRPr="00556783">
              <w:t>4.15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77777777" w:rsidR="00556783" w:rsidRPr="00556783" w:rsidRDefault="00556783" w:rsidP="00556783">
            <w:pPr>
              <w:spacing w:before="60" w:after="60" w:line="240" w:lineRule="auto"/>
              <w:jc w:val="center"/>
            </w:pPr>
            <w:r w:rsidRPr="00556783">
              <w:t>0.44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77777777" w:rsidR="00556783" w:rsidRPr="00556783" w:rsidRDefault="00556783" w:rsidP="00556783">
            <w:pPr>
              <w:spacing w:before="60" w:after="60" w:line="240" w:lineRule="auto"/>
              <w:jc w:val="center"/>
            </w:pPr>
            <w:r w:rsidRPr="00556783">
              <w:t>2.42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77777777" w:rsidR="00556783" w:rsidRPr="00556783" w:rsidRDefault="00556783" w:rsidP="00556783">
            <w:pPr>
              <w:spacing w:before="60" w:after="60" w:line="240" w:lineRule="auto"/>
              <w:jc w:val="center"/>
            </w:pPr>
            <w:r w:rsidRPr="00556783">
              <w:t>0.44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77777777" w:rsidR="00556783" w:rsidRPr="00556783" w:rsidRDefault="00556783" w:rsidP="00556783">
            <w:pPr>
              <w:spacing w:before="60" w:after="60" w:line="240" w:lineRule="auto"/>
              <w:jc w:val="center"/>
            </w:pPr>
            <w:r w:rsidRPr="00556783">
              <w:t>1.04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77777777" w:rsidR="00556783" w:rsidRPr="00556783" w:rsidRDefault="00556783" w:rsidP="00556783">
            <w:pPr>
              <w:spacing w:before="60" w:after="60" w:line="240" w:lineRule="auto"/>
              <w:jc w:val="center"/>
            </w:pPr>
            <w:r w:rsidRPr="00556783">
              <w:t>0.29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77777777" w:rsidR="00556783" w:rsidRPr="00556783" w:rsidRDefault="00556783" w:rsidP="00556783">
            <w:pPr>
              <w:spacing w:before="60" w:after="60" w:line="240" w:lineRule="auto"/>
              <w:jc w:val="center"/>
            </w:pPr>
            <w:r w:rsidRPr="00556783">
              <w:t>0.35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77777777" w:rsidR="00556783" w:rsidRPr="00556783" w:rsidRDefault="00556783" w:rsidP="00556783">
            <w:pPr>
              <w:spacing w:before="60" w:after="60" w:line="240" w:lineRule="auto"/>
              <w:jc w:val="center"/>
            </w:pPr>
            <w:r w:rsidRPr="00556783">
              <w:t>24.9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77777777" w:rsidR="00556783" w:rsidRPr="00556783" w:rsidRDefault="00556783" w:rsidP="00556783">
            <w:pPr>
              <w:spacing w:before="60" w:after="60" w:line="240" w:lineRule="auto"/>
              <w:jc w:val="center"/>
            </w:pPr>
            <w:r w:rsidRPr="00556783">
              <w:t>27.31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77777777" w:rsidR="00556783" w:rsidRPr="00556783" w:rsidRDefault="00556783" w:rsidP="00556783">
            <w:pPr>
              <w:spacing w:before="60" w:after="60" w:line="240" w:lineRule="auto"/>
              <w:jc w:val="center"/>
            </w:pPr>
            <w:r w:rsidRPr="00556783">
              <w:t>3.5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77777777" w:rsidR="00556783" w:rsidRPr="00556783" w:rsidRDefault="00556783" w:rsidP="00556783">
            <w:pPr>
              <w:spacing w:before="60" w:after="60" w:line="240" w:lineRule="auto"/>
              <w:jc w:val="center"/>
            </w:pPr>
            <w:r w:rsidRPr="00556783">
              <w:t>6.64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77777777" w:rsidR="00556783" w:rsidRPr="00556783" w:rsidRDefault="00556783" w:rsidP="00556783">
            <w:pPr>
              <w:spacing w:before="60" w:after="60" w:line="240" w:lineRule="auto"/>
              <w:jc w:val="center"/>
            </w:pPr>
            <w:r w:rsidRPr="00556783">
              <w:t>2.02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77777777" w:rsidR="00556783" w:rsidRPr="00556783" w:rsidRDefault="00556783" w:rsidP="00556783">
            <w:pPr>
              <w:spacing w:before="60" w:after="60" w:line="240" w:lineRule="auto"/>
              <w:jc w:val="center"/>
            </w:pPr>
            <w:r w:rsidRPr="00556783">
              <w:t>4.06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77777777" w:rsidR="00556783" w:rsidRPr="00556783" w:rsidRDefault="00556783" w:rsidP="00556783">
            <w:pPr>
              <w:spacing w:before="60" w:after="60" w:line="240" w:lineRule="auto"/>
              <w:jc w:val="center"/>
            </w:pPr>
            <w:r w:rsidRPr="00556783">
              <w:t>1.88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77777777" w:rsidR="00556783" w:rsidRPr="00556783" w:rsidRDefault="00556783" w:rsidP="00556783">
            <w:pPr>
              <w:spacing w:before="60" w:after="60" w:line="240" w:lineRule="auto"/>
              <w:jc w:val="center"/>
            </w:pPr>
            <w:r w:rsidRPr="00556783">
              <w:t>0.74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77777777" w:rsidR="00556783" w:rsidRPr="00556783" w:rsidRDefault="00556783" w:rsidP="00556783">
            <w:pPr>
              <w:spacing w:before="60" w:after="60" w:line="240" w:lineRule="auto"/>
              <w:jc w:val="center"/>
            </w:pPr>
            <w:r w:rsidRPr="00556783">
              <w:t>0.81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77777777" w:rsidR="00556783" w:rsidRPr="00556783" w:rsidRDefault="00556783" w:rsidP="00556783">
            <w:pPr>
              <w:spacing w:before="60" w:after="60" w:line="240" w:lineRule="auto"/>
              <w:jc w:val="center"/>
            </w:pPr>
            <w:r w:rsidRPr="00556783">
              <w:t>0.74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77777777" w:rsidR="00556783" w:rsidRPr="00556783" w:rsidRDefault="00556783" w:rsidP="00556783">
            <w:pPr>
              <w:spacing w:before="60" w:after="60" w:line="240" w:lineRule="auto"/>
              <w:jc w:val="center"/>
            </w:pPr>
            <w:r w:rsidRPr="00556783">
              <w:t>0.37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77777777" w:rsidR="00556783" w:rsidRPr="00556783" w:rsidRDefault="00556783" w:rsidP="00556783">
            <w:pPr>
              <w:spacing w:before="60" w:after="60" w:line="240" w:lineRule="auto"/>
              <w:jc w:val="center"/>
            </w:pPr>
            <w:r w:rsidRPr="00556783">
              <w:t>0.37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77777777" w:rsidR="00556783" w:rsidRPr="00556783" w:rsidRDefault="00556783" w:rsidP="00556783">
            <w:pPr>
              <w:spacing w:before="60" w:after="60" w:line="240" w:lineRule="auto"/>
              <w:jc w:val="center"/>
            </w:pPr>
            <w:r w:rsidRPr="00556783">
              <w:t>0.27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77777777" w:rsidR="00556783" w:rsidRPr="00556783" w:rsidRDefault="00556783" w:rsidP="00556783">
            <w:pPr>
              <w:spacing w:before="60" w:after="60" w:line="240" w:lineRule="auto"/>
              <w:jc w:val="center"/>
            </w:pPr>
            <w:r w:rsidRPr="00556783">
              <w:t>0.37</w:t>
            </w:r>
          </w:p>
        </w:tc>
      </w:tr>
    </w:tbl>
    <w:p w14:paraId="35D533A3" w14:textId="21DEB71F" w:rsidR="00F934E8" w:rsidRDefault="00625AE3" w:rsidP="00556783">
      <w:pPr>
        <w:spacing w:before="360"/>
      </w:pPr>
      <w:r w:rsidRPr="00625AE3">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w:t>
      </w:r>
      <w:r w:rsidRPr="00625AE3">
        <w:lastRenderedPageBreak/>
        <w:t xml:space="preserve">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77777777" w:rsidR="00883615" w:rsidRPr="00883615" w:rsidRDefault="00883615" w:rsidP="00883615">
            <w:pPr>
              <w:spacing w:before="60" w:after="60" w:line="240" w:lineRule="auto"/>
              <w:jc w:val="center"/>
            </w:pPr>
            <w:r w:rsidRPr="00883615">
              <w:t>30.09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77777777" w:rsidR="00883615" w:rsidRPr="00883615" w:rsidRDefault="00883615" w:rsidP="00883615">
            <w:pPr>
              <w:spacing w:before="60" w:after="60" w:line="240" w:lineRule="auto"/>
              <w:jc w:val="center"/>
            </w:pPr>
            <w:r w:rsidRPr="00883615">
              <w:t>36.33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77777777" w:rsidR="00883615" w:rsidRPr="00883615" w:rsidRDefault="00883615" w:rsidP="00883615">
            <w:pPr>
              <w:spacing w:before="60" w:after="60" w:line="240" w:lineRule="auto"/>
              <w:jc w:val="center"/>
            </w:pPr>
            <w:r w:rsidRPr="00883615">
              <w:t>3.63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77777777" w:rsidR="00883615" w:rsidRPr="00883615" w:rsidRDefault="00883615" w:rsidP="00883615">
            <w:pPr>
              <w:spacing w:before="60" w:after="60" w:line="240" w:lineRule="auto"/>
              <w:jc w:val="center"/>
            </w:pPr>
            <w:r w:rsidRPr="00883615">
              <w:t>4.5</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77777777" w:rsidR="00883615" w:rsidRPr="00883615" w:rsidRDefault="00883615" w:rsidP="00883615">
            <w:pPr>
              <w:spacing w:before="60" w:after="60" w:line="240" w:lineRule="auto"/>
              <w:jc w:val="center"/>
            </w:pPr>
            <w:r w:rsidRPr="00883615">
              <w:t>2.18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7777777" w:rsidR="00883615" w:rsidRPr="00883615" w:rsidRDefault="00883615" w:rsidP="00883615">
            <w:pPr>
              <w:spacing w:before="60" w:after="60" w:line="240" w:lineRule="auto"/>
              <w:jc w:val="center"/>
            </w:pPr>
            <w:r w:rsidRPr="00883615">
              <w:t>3.11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77777777" w:rsidR="00883615" w:rsidRPr="00883615" w:rsidRDefault="00883615" w:rsidP="00883615">
            <w:pPr>
              <w:spacing w:before="60" w:after="60" w:line="240" w:lineRule="auto"/>
              <w:jc w:val="center"/>
            </w:pPr>
            <w:r w:rsidRPr="00883615">
              <w:t>1.6</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77777777" w:rsidR="00883615" w:rsidRPr="00883615" w:rsidRDefault="00883615" w:rsidP="00883615">
            <w:pPr>
              <w:spacing w:before="60" w:after="60" w:line="240" w:lineRule="auto"/>
              <w:jc w:val="center"/>
            </w:pPr>
            <w:r w:rsidRPr="00883615">
              <w:t>3.11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77777777" w:rsidR="00883615" w:rsidRPr="00883615" w:rsidRDefault="00883615" w:rsidP="00883615">
            <w:pPr>
              <w:spacing w:before="60" w:after="60" w:line="240" w:lineRule="auto"/>
              <w:jc w:val="center"/>
            </w:pPr>
            <w:r w:rsidRPr="00883615">
              <w:t>1.31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7777777" w:rsidR="00883615" w:rsidRPr="00883615" w:rsidRDefault="00883615" w:rsidP="00883615">
            <w:pPr>
              <w:spacing w:before="60" w:after="60" w:line="240" w:lineRule="auto"/>
              <w:jc w:val="center"/>
            </w:pPr>
            <w:r w:rsidRPr="00883615">
              <w:t>2.08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7777777" w:rsidR="00883615" w:rsidRPr="00883615" w:rsidRDefault="00883615" w:rsidP="00883615">
            <w:pPr>
              <w:spacing w:before="60" w:after="60" w:line="240" w:lineRule="auto"/>
              <w:jc w:val="center"/>
            </w:pPr>
            <w:r w:rsidRPr="00883615">
              <w:t>1.02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77777777" w:rsidR="00883615" w:rsidRPr="00883615" w:rsidRDefault="00883615" w:rsidP="00883615">
            <w:pPr>
              <w:spacing w:before="60" w:after="60" w:line="240" w:lineRule="auto"/>
              <w:jc w:val="center"/>
            </w:pPr>
            <w:r w:rsidRPr="00883615">
              <w:t>1.38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77777777" w:rsidR="00883615" w:rsidRPr="00883615" w:rsidRDefault="00883615" w:rsidP="00883615">
            <w:pPr>
              <w:spacing w:before="60" w:after="60" w:line="240" w:lineRule="auto"/>
              <w:jc w:val="center"/>
            </w:pPr>
            <w:r w:rsidRPr="00883615">
              <w:t>0.87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77777777" w:rsidR="00883615" w:rsidRPr="00883615" w:rsidRDefault="00883615" w:rsidP="00883615">
            <w:pPr>
              <w:spacing w:before="60" w:after="60" w:line="240" w:lineRule="auto"/>
              <w:jc w:val="center"/>
            </w:pPr>
            <w:r w:rsidRPr="00883615">
              <w:t>0.69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77777777" w:rsidR="00883615" w:rsidRPr="00883615" w:rsidRDefault="00883615" w:rsidP="00883615">
            <w:pPr>
              <w:spacing w:before="60" w:after="60" w:line="240" w:lineRule="auto"/>
              <w:jc w:val="center"/>
            </w:pPr>
            <w:r w:rsidRPr="00883615">
              <w:t>30.69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7777777" w:rsidR="00883615" w:rsidRPr="00883615" w:rsidRDefault="00883615" w:rsidP="00883615">
            <w:pPr>
              <w:spacing w:before="60" w:after="60" w:line="240" w:lineRule="auto"/>
              <w:jc w:val="center"/>
            </w:pPr>
            <w:r w:rsidRPr="00883615">
              <w:t>35.79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77777777" w:rsidR="00883615" w:rsidRPr="00883615" w:rsidRDefault="00883615" w:rsidP="00883615">
            <w:pPr>
              <w:spacing w:before="60" w:after="60" w:line="240" w:lineRule="auto"/>
              <w:jc w:val="center"/>
            </w:pPr>
            <w:r w:rsidRPr="00883615">
              <w:t>3.1</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77777777" w:rsidR="00883615" w:rsidRPr="00883615" w:rsidRDefault="00883615" w:rsidP="00883615">
            <w:pPr>
              <w:spacing w:before="60" w:after="60" w:line="240" w:lineRule="auto"/>
              <w:jc w:val="center"/>
            </w:pPr>
            <w:r w:rsidRPr="00883615">
              <w:t>6.64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77777777" w:rsidR="00883615" w:rsidRPr="00883615" w:rsidRDefault="00883615" w:rsidP="00883615">
            <w:pPr>
              <w:spacing w:before="60" w:after="60" w:line="240" w:lineRule="auto"/>
              <w:jc w:val="center"/>
            </w:pPr>
            <w:r w:rsidRPr="00883615">
              <w:t>2.83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77777777" w:rsidR="00883615" w:rsidRPr="00883615" w:rsidRDefault="00883615" w:rsidP="00883615">
            <w:pPr>
              <w:spacing w:before="60" w:after="60" w:line="240" w:lineRule="auto"/>
              <w:jc w:val="center"/>
            </w:pPr>
            <w:r w:rsidRPr="00883615">
              <w:t>4.43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lastRenderedPageBreak/>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77777777" w:rsidR="00883615" w:rsidRPr="00883615" w:rsidRDefault="00883615" w:rsidP="00883615">
            <w:pPr>
              <w:spacing w:before="60" w:after="60" w:line="240" w:lineRule="auto"/>
              <w:jc w:val="center"/>
            </w:pPr>
            <w:r w:rsidRPr="00883615">
              <w:t>2.15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77777777" w:rsidR="00883615" w:rsidRPr="00883615" w:rsidRDefault="00883615" w:rsidP="00883615">
            <w:pPr>
              <w:spacing w:before="60" w:after="60" w:line="240" w:lineRule="auto"/>
              <w:jc w:val="center"/>
            </w:pPr>
            <w:r w:rsidRPr="00883615">
              <w:t>3.69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77777777" w:rsidR="00883615" w:rsidRPr="00883615" w:rsidRDefault="00883615" w:rsidP="00883615">
            <w:pPr>
              <w:spacing w:before="60" w:after="60" w:line="240" w:lineRule="auto"/>
              <w:jc w:val="center"/>
            </w:pPr>
            <w:r w:rsidRPr="00883615">
              <w:t>1.62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77777777" w:rsidR="00883615" w:rsidRPr="00883615" w:rsidRDefault="00883615" w:rsidP="00883615">
            <w:pPr>
              <w:spacing w:before="60" w:after="60" w:line="240" w:lineRule="auto"/>
              <w:jc w:val="center"/>
            </w:pPr>
            <w:r w:rsidRPr="00883615">
              <w:t>1.48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77777777" w:rsidR="00883615" w:rsidRPr="00883615" w:rsidRDefault="00883615" w:rsidP="00883615">
            <w:pPr>
              <w:spacing w:before="60" w:after="60" w:line="240" w:lineRule="auto"/>
              <w:jc w:val="center"/>
            </w:pPr>
            <w:r w:rsidRPr="00883615">
              <w:t>1.48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77777777" w:rsidR="00883615" w:rsidRPr="00883615" w:rsidRDefault="00883615" w:rsidP="00883615">
            <w:pPr>
              <w:spacing w:before="60" w:after="60" w:line="240" w:lineRule="auto"/>
              <w:jc w:val="center"/>
            </w:pPr>
            <w:r w:rsidRPr="00883615">
              <w:t>1.11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77777777" w:rsidR="00883615" w:rsidRPr="00883615" w:rsidRDefault="00883615" w:rsidP="00883615">
            <w:pPr>
              <w:spacing w:before="60" w:after="60" w:line="240" w:lineRule="auto"/>
              <w:jc w:val="center"/>
            </w:pPr>
            <w:r w:rsidRPr="00883615">
              <w:t>0.4</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77777777" w:rsidR="00883615" w:rsidRPr="00883615" w:rsidRDefault="00883615" w:rsidP="00883615">
            <w:pPr>
              <w:spacing w:before="60" w:after="60" w:line="240" w:lineRule="auto"/>
              <w:jc w:val="center"/>
            </w:pPr>
            <w:r w:rsidRPr="00883615">
              <w:t>0.74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77777777" w:rsidR="00883615" w:rsidRPr="00883615" w:rsidRDefault="00883615" w:rsidP="00883615">
            <w:pPr>
              <w:spacing w:before="60" w:after="60" w:line="240" w:lineRule="auto"/>
              <w:jc w:val="center"/>
            </w:pPr>
            <w:r w:rsidRPr="00883615">
              <w:t>0.27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Pr="00945A06" w:rsidRDefault="00883615" w:rsidP="00883615">
      <w:pPr>
        <w:spacing w:before="360"/>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3B069E64" w:rsidR="00AA3DAC" w:rsidRDefault="00945A06" w:rsidP="00A66806">
      <w:r w:rsidRPr="00945A06">
        <w:t>Категория</w:t>
      </w:r>
      <w:r w:rsidRPr="00945A06">
        <w:t xml:space="preserve">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77777777" w:rsidR="00945A06" w:rsidRPr="00945A06" w:rsidRDefault="00945A06" w:rsidP="00945A06">
            <w:pPr>
              <w:spacing w:before="60" w:after="60" w:line="240" w:lineRule="auto"/>
              <w:jc w:val="center"/>
            </w:pPr>
            <w:r w:rsidRPr="00945A06">
              <w:t>0.58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77777777" w:rsidR="00945A06" w:rsidRPr="00945A06" w:rsidRDefault="00945A06" w:rsidP="00945A06">
            <w:pPr>
              <w:spacing w:before="60" w:after="60" w:line="240" w:lineRule="auto"/>
              <w:jc w:val="center"/>
            </w:pPr>
            <w:r w:rsidRPr="00945A06">
              <w:t>0.35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77777777" w:rsidR="00945A06" w:rsidRPr="00945A06" w:rsidRDefault="00945A06" w:rsidP="00945A06">
            <w:pPr>
              <w:spacing w:before="60" w:after="60" w:line="240" w:lineRule="auto"/>
              <w:jc w:val="center"/>
            </w:pPr>
            <w:r w:rsidRPr="00945A06">
              <w:t>0.29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77777777" w:rsidR="00945A06" w:rsidRPr="00945A06" w:rsidRDefault="00945A06" w:rsidP="00945A06">
            <w:pPr>
              <w:spacing w:before="60" w:after="60" w:line="240" w:lineRule="auto"/>
              <w:jc w:val="center"/>
            </w:pPr>
            <w:r w:rsidRPr="00945A06">
              <w:t>0.35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2BEE2C6C" w:rsidR="001B5E2B" w:rsidRPr="001B5E2B" w:rsidRDefault="001B5E2B" w:rsidP="001B5E2B">
            <w:pPr>
              <w:spacing w:before="60" w:after="60" w:line="240" w:lineRule="auto"/>
              <w:jc w:val="center"/>
              <w:rPr>
                <w:lang w:val="en-US"/>
              </w:rPr>
            </w:pPr>
            <w:r w:rsidRPr="00945A06">
              <w:t>0.</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49CE60" w:rsidR="001B5E2B" w:rsidRPr="001B5E2B" w:rsidRDefault="001B5E2B" w:rsidP="001B5E2B">
            <w:pPr>
              <w:spacing w:before="60" w:after="60" w:line="240" w:lineRule="auto"/>
              <w:jc w:val="center"/>
              <w:rPr>
                <w:lang w:val="en-US"/>
              </w:rPr>
            </w:pPr>
            <w:r w:rsidRPr="00945A06">
              <w:t>0.</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7A3BF6" w:rsidRDefault="007A3BF6" w:rsidP="007A3BF6">
      <w:pPr>
        <w:pStyle w:val="Heading2"/>
        <w:spacing w:before="360" w:after="360"/>
        <w:rPr>
          <w:lang w:val="en-US"/>
        </w:rPr>
      </w:pPr>
      <w:r w:rsidRPr="007A3BF6">
        <w:t>Тестирование и обеспечение качества</w:t>
      </w:r>
    </w:p>
    <w:p w14:paraId="66A5FE41" w14:textId="7461F678" w:rsidR="007A3BF6" w:rsidRDefault="007A3BF6" w:rsidP="007A3BF6">
      <w:r w:rsidRPr="007A3BF6">
        <w:t>Категория</w:t>
      </w:r>
      <w:r w:rsidRPr="007A3BF6">
        <w:t xml:space="preserve">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77777777" w:rsidR="00185A24" w:rsidRPr="00185A24" w:rsidRDefault="00185A24" w:rsidP="00185A24">
            <w:pPr>
              <w:spacing w:before="60" w:after="60" w:line="240" w:lineRule="auto"/>
              <w:jc w:val="center"/>
            </w:pPr>
            <w:r w:rsidRPr="00185A24">
              <w:t>6.25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77777777" w:rsidR="00185A24" w:rsidRPr="00185A24" w:rsidRDefault="00185A24" w:rsidP="00185A24">
            <w:pPr>
              <w:spacing w:before="60" w:after="60" w:line="240" w:lineRule="auto"/>
              <w:jc w:val="center"/>
            </w:pPr>
            <w:r w:rsidRPr="00185A24">
              <w:t>7.96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77777777" w:rsidR="00185A24" w:rsidRPr="00185A24" w:rsidRDefault="00185A24" w:rsidP="00185A24">
            <w:pPr>
              <w:spacing w:before="60" w:after="60" w:line="240" w:lineRule="auto"/>
              <w:jc w:val="center"/>
            </w:pPr>
            <w:r w:rsidRPr="00185A24">
              <w:t>5.09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77777777" w:rsidR="00185A24" w:rsidRPr="00185A24" w:rsidRDefault="00185A24" w:rsidP="00185A24">
            <w:pPr>
              <w:spacing w:before="60" w:after="60" w:line="240" w:lineRule="auto"/>
              <w:jc w:val="center"/>
            </w:pPr>
            <w:r w:rsidRPr="00185A24">
              <w:t>6.92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lastRenderedPageBreak/>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77777777" w:rsidR="00185A24" w:rsidRPr="00185A24" w:rsidRDefault="00185A24" w:rsidP="00185A24">
            <w:pPr>
              <w:spacing w:before="60" w:after="60" w:line="240" w:lineRule="auto"/>
              <w:jc w:val="center"/>
            </w:pPr>
            <w:r w:rsidRPr="00185A24">
              <w:t>2.62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7777777" w:rsidR="00185A24" w:rsidRPr="00185A24" w:rsidRDefault="00185A24" w:rsidP="00185A24">
            <w:pPr>
              <w:spacing w:before="60" w:after="60" w:line="240" w:lineRule="auto"/>
              <w:jc w:val="center"/>
            </w:pPr>
            <w:r w:rsidRPr="00185A24">
              <w:t>4.84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7777777" w:rsidR="00185A24" w:rsidRPr="00185A24" w:rsidRDefault="00185A24" w:rsidP="00185A24">
            <w:pPr>
              <w:spacing w:before="60" w:after="60" w:line="240" w:lineRule="auto"/>
              <w:jc w:val="center"/>
            </w:pPr>
            <w:r w:rsidRPr="00185A24">
              <w:t>1.6</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77777777" w:rsidR="00185A24" w:rsidRPr="00185A24" w:rsidRDefault="00185A24" w:rsidP="00185A24">
            <w:pPr>
              <w:spacing w:before="60" w:after="60" w:line="240" w:lineRule="auto"/>
              <w:jc w:val="center"/>
            </w:pPr>
            <w:r w:rsidRPr="00185A24">
              <w:t>2.08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77777777" w:rsidR="00185A24" w:rsidRPr="00185A24" w:rsidRDefault="00185A24" w:rsidP="00185A24">
            <w:pPr>
              <w:spacing w:before="60" w:after="60" w:line="240" w:lineRule="auto"/>
              <w:jc w:val="center"/>
            </w:pPr>
            <w:r w:rsidRPr="00185A24">
              <w:t>1.31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77777777" w:rsidR="00185A24" w:rsidRPr="00185A24" w:rsidRDefault="00185A24" w:rsidP="00185A24">
            <w:pPr>
              <w:spacing w:before="60" w:after="60" w:line="240" w:lineRule="auto"/>
              <w:jc w:val="center"/>
            </w:pPr>
            <w:r w:rsidRPr="00185A24">
              <w:t>0.69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77777777" w:rsidR="00185A24" w:rsidRPr="00185A24" w:rsidRDefault="00185A24" w:rsidP="00185A24">
            <w:pPr>
              <w:spacing w:before="60" w:after="60" w:line="240" w:lineRule="auto"/>
              <w:jc w:val="center"/>
            </w:pPr>
            <w:r w:rsidRPr="00185A24">
              <w:t>0.73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77777777" w:rsidR="00185A24" w:rsidRPr="00185A24" w:rsidRDefault="00185A24" w:rsidP="00185A24">
            <w:pPr>
              <w:spacing w:before="60" w:after="60" w:line="240" w:lineRule="auto"/>
              <w:jc w:val="center"/>
            </w:pPr>
            <w:r w:rsidRPr="00185A24">
              <w:t>0.15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w:t>
      </w:r>
      <w:r>
        <w:rPr>
          <w:b/>
          <w:bCs/>
        </w:rPr>
        <w:t>4</w:t>
      </w:r>
      <w:r>
        <w:rPr>
          <w:b/>
          <w:bCs/>
        </w:rPr>
        <w:t>.</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7777777" w:rsidR="00BD5AAC" w:rsidRPr="00BD5AAC" w:rsidRDefault="00BD5AAC" w:rsidP="00BD5AAC">
            <w:pPr>
              <w:spacing w:before="60" w:after="60" w:line="240" w:lineRule="auto"/>
              <w:jc w:val="center"/>
            </w:pPr>
            <w:r w:rsidRPr="00BD5AAC">
              <w:t>5.38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77777777" w:rsidR="00BD5AAC" w:rsidRPr="00BD5AAC" w:rsidRDefault="00BD5AAC" w:rsidP="00BD5AAC">
            <w:pPr>
              <w:spacing w:before="60" w:after="60" w:line="240" w:lineRule="auto"/>
              <w:jc w:val="center"/>
            </w:pPr>
            <w:r w:rsidRPr="00BD5AAC">
              <w:t>5.9</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77777777" w:rsidR="00BD5AAC" w:rsidRPr="00BD5AAC" w:rsidRDefault="00BD5AAC" w:rsidP="00BD5AAC">
            <w:pPr>
              <w:spacing w:before="60" w:after="60" w:line="240" w:lineRule="auto"/>
              <w:jc w:val="center"/>
            </w:pPr>
            <w:r w:rsidRPr="00BD5AAC">
              <w:t>0.67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7777777" w:rsidR="00BD5AAC" w:rsidRPr="00BD5AAC" w:rsidRDefault="00BD5AAC" w:rsidP="00BD5AAC">
            <w:pPr>
              <w:spacing w:before="60" w:after="60" w:line="240" w:lineRule="auto"/>
              <w:jc w:val="center"/>
            </w:pPr>
            <w:r w:rsidRPr="00BD5AAC">
              <w:t>1.11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77777777" w:rsidR="00BD5AAC" w:rsidRPr="00BD5AAC" w:rsidRDefault="00BD5AAC" w:rsidP="00BD5AAC">
            <w:pPr>
              <w:spacing w:before="60" w:after="60" w:line="240" w:lineRule="auto"/>
              <w:jc w:val="center"/>
            </w:pPr>
            <w:r w:rsidRPr="00BD5AAC">
              <w:t>0.27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77777777" w:rsidR="00BD5AAC" w:rsidRPr="00BD5AAC" w:rsidRDefault="00BD5AAC" w:rsidP="00BD5AAC">
            <w:pPr>
              <w:spacing w:before="60" w:after="60" w:line="240" w:lineRule="auto"/>
              <w:jc w:val="center"/>
            </w:pPr>
            <w:r w:rsidRPr="00BD5AAC">
              <w:t>0.37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77777777" w:rsidR="00BD5AAC" w:rsidRPr="00BD5AAC" w:rsidRDefault="00BD5AAC" w:rsidP="00BD5AAC">
            <w:pPr>
              <w:spacing w:before="60" w:after="60" w:line="240" w:lineRule="auto"/>
              <w:jc w:val="center"/>
            </w:pPr>
            <w:r w:rsidRPr="00BD5AAC">
              <w:t>0.27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77777777" w:rsidR="00BD5AAC" w:rsidRPr="00BD5AAC" w:rsidRDefault="00BD5AAC" w:rsidP="00BD5AAC">
            <w:pPr>
              <w:spacing w:before="60" w:after="60" w:line="240" w:lineRule="auto"/>
              <w:jc w:val="center"/>
            </w:pPr>
            <w:r w:rsidRPr="00BD5AAC">
              <w:t>0.37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77777777" w:rsidR="00BD5AAC" w:rsidRPr="00BD5AAC" w:rsidRDefault="00BD5AAC" w:rsidP="00BD5AAC">
            <w:pPr>
              <w:spacing w:before="60" w:after="60" w:line="240" w:lineRule="auto"/>
              <w:jc w:val="center"/>
            </w:pPr>
            <w:r w:rsidRPr="00BD5AAC">
              <w:t>0.27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7777777" w:rsidR="00BD5AAC" w:rsidRPr="00BD5AAC" w:rsidRDefault="00BD5AAC" w:rsidP="00BD5AAC">
            <w:pPr>
              <w:spacing w:before="60" w:after="60" w:line="240" w:lineRule="auto"/>
              <w:jc w:val="center"/>
            </w:pPr>
            <w:r w:rsidRPr="00BD5AAC">
              <w:t>0.37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77777777" w:rsidR="00BD5AAC" w:rsidRPr="00BD5AAC" w:rsidRDefault="00BD5AAC" w:rsidP="00BD5AAC">
            <w:pPr>
              <w:spacing w:before="60" w:after="60" w:line="240" w:lineRule="auto"/>
              <w:jc w:val="center"/>
            </w:pPr>
            <w:r w:rsidRPr="00BD5AAC">
              <w:t>0.13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77777777" w:rsidR="00BD5AAC" w:rsidRPr="00BD5AAC" w:rsidRDefault="00BD5AAC" w:rsidP="00BD5AAC">
            <w:pPr>
              <w:spacing w:before="60" w:after="60" w:line="240" w:lineRule="auto"/>
              <w:jc w:val="center"/>
            </w:pPr>
            <w:r w:rsidRPr="00BD5AAC">
              <w:t>0.13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w:t>
      </w:r>
      <w:r w:rsidRPr="007A3BF6">
        <w:t xml:space="preserve"> </w:t>
      </w:r>
      <w:r w:rsidRPr="007A3BF6">
        <w:t xml:space="preserve">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lastRenderedPageBreak/>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w:t>
      </w:r>
      <w:r>
        <w:rPr>
          <w:b/>
          <w:bCs/>
        </w:rPr>
        <w:t>5</w:t>
      </w:r>
      <w:r>
        <w:rPr>
          <w:b/>
          <w:bCs/>
        </w:rPr>
        <w:t>.</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77777777" w:rsidR="001C194E" w:rsidRPr="001C194E" w:rsidRDefault="001C194E" w:rsidP="001C194E">
            <w:pPr>
              <w:spacing w:before="60" w:after="60" w:line="240" w:lineRule="auto"/>
              <w:jc w:val="center"/>
            </w:pPr>
            <w:r w:rsidRPr="001C194E">
              <w:t>6.4</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77777777" w:rsidR="001C194E" w:rsidRPr="001C194E" w:rsidRDefault="001C194E" w:rsidP="001C194E">
            <w:pPr>
              <w:spacing w:before="60" w:after="60" w:line="240" w:lineRule="auto"/>
              <w:jc w:val="center"/>
            </w:pPr>
            <w:r w:rsidRPr="001C194E">
              <w:t>18.34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77777777" w:rsidR="001C194E" w:rsidRPr="001C194E" w:rsidRDefault="001C194E" w:rsidP="001C194E">
            <w:pPr>
              <w:spacing w:before="60" w:after="60" w:line="240" w:lineRule="auto"/>
              <w:jc w:val="center"/>
            </w:pPr>
            <w:r w:rsidRPr="001C194E">
              <w:t>4.94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77777777" w:rsidR="001C194E" w:rsidRPr="001C194E" w:rsidRDefault="001C194E" w:rsidP="001C194E">
            <w:pPr>
              <w:spacing w:before="60" w:after="60" w:line="240" w:lineRule="auto"/>
              <w:jc w:val="center"/>
            </w:pPr>
            <w:r w:rsidRPr="001C194E">
              <w:t>6.57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77777777" w:rsidR="001C194E" w:rsidRPr="001C194E" w:rsidRDefault="001C194E" w:rsidP="001C194E">
            <w:pPr>
              <w:spacing w:before="60" w:after="60" w:line="240" w:lineRule="auto"/>
              <w:jc w:val="center"/>
            </w:pPr>
            <w:r w:rsidRPr="001C194E">
              <w:t>1.45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77777777" w:rsidR="001C194E" w:rsidRPr="001C194E" w:rsidRDefault="001C194E" w:rsidP="001C194E">
            <w:pPr>
              <w:spacing w:before="60" w:after="60" w:line="240" w:lineRule="auto"/>
              <w:jc w:val="center"/>
            </w:pPr>
            <w:r w:rsidRPr="001C194E">
              <w:t>1.38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w:t>
      </w:r>
      <w:r>
        <w:rPr>
          <w:b/>
          <w:bCs/>
        </w:rPr>
        <w:t>6</w:t>
      </w:r>
      <w:r>
        <w:rPr>
          <w:b/>
          <w:bCs/>
        </w:rPr>
        <w:t>.</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6AC31BFB" w:rsidR="001C194E" w:rsidRPr="001C194E" w:rsidRDefault="001C194E" w:rsidP="00ED4112">
            <w:pPr>
              <w:spacing w:before="60" w:after="60" w:line="240" w:lineRule="auto"/>
              <w:jc w:val="center"/>
              <w:rPr>
                <w:lang w:val="en-US"/>
              </w:rPr>
            </w:pPr>
            <w:r>
              <w:rPr>
                <w:lang w:val="en-US"/>
              </w:rPr>
              <w:t>0.27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2A3CED25" w:rsidR="001C194E" w:rsidRPr="001C194E" w:rsidRDefault="001C194E" w:rsidP="00ED4112">
            <w:pPr>
              <w:spacing w:before="60" w:after="60" w:line="240" w:lineRule="auto"/>
              <w:jc w:val="center"/>
              <w:rPr>
                <w:lang w:val="en-US"/>
              </w:rPr>
            </w:pPr>
            <w:r>
              <w:rPr>
                <w:lang w:val="en-US"/>
              </w:rPr>
              <w:t>1.11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77777777" w:rsidR="00773E10" w:rsidRDefault="00773E10" w:rsidP="00773E10">
      <w:pPr>
        <w:rPr>
          <w:lang w:val="en-US"/>
        </w:rPr>
      </w:pPr>
    </w:p>
    <w:p w14:paraId="35F4EE91" w14:textId="77777777" w:rsidR="00773E10" w:rsidRDefault="00773E10" w:rsidP="00773E10">
      <w:pPr>
        <w:rPr>
          <w:lang w:val="en-US"/>
        </w:rPr>
      </w:pPr>
    </w:p>
    <w:p w14:paraId="57BF28E3" w14:textId="77777777" w:rsidR="00773E10" w:rsidRDefault="00773E10" w:rsidP="00773E10">
      <w:pPr>
        <w:rPr>
          <w:lang w:val="en-US"/>
        </w:rPr>
      </w:pPr>
    </w:p>
    <w:p w14:paraId="398472FE" w14:textId="1070F04B"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54A29" w14:textId="77777777" w:rsidR="00FC198F" w:rsidRDefault="00FC198F" w:rsidP="0095343D">
      <w:pPr>
        <w:spacing w:after="0" w:line="240" w:lineRule="auto"/>
      </w:pPr>
      <w:r>
        <w:separator/>
      </w:r>
    </w:p>
  </w:endnote>
  <w:endnote w:type="continuationSeparator" w:id="0">
    <w:p w14:paraId="5DBFCF06" w14:textId="77777777" w:rsidR="00FC198F" w:rsidRDefault="00FC198F"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8047C" w14:textId="77777777" w:rsidR="00FC198F" w:rsidRDefault="00FC198F" w:rsidP="0095343D">
      <w:pPr>
        <w:spacing w:after="0" w:line="240" w:lineRule="auto"/>
      </w:pPr>
      <w:r>
        <w:separator/>
      </w:r>
    </w:p>
  </w:footnote>
  <w:footnote w:type="continuationSeparator" w:id="0">
    <w:p w14:paraId="3C8300BF" w14:textId="77777777" w:rsidR="00FC198F" w:rsidRDefault="00FC198F"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85A24"/>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8F7"/>
    <w:rsid w:val="001C194E"/>
    <w:rsid w:val="001C1E0A"/>
    <w:rsid w:val="001C2219"/>
    <w:rsid w:val="001C2F04"/>
    <w:rsid w:val="001C39D9"/>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1A38"/>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A5B"/>
    <w:rsid w:val="005644C8"/>
    <w:rsid w:val="005644E0"/>
    <w:rsid w:val="005645CE"/>
    <w:rsid w:val="00564C52"/>
    <w:rsid w:val="005656D7"/>
    <w:rsid w:val="005658C7"/>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33A4"/>
    <w:rsid w:val="005D3D5F"/>
    <w:rsid w:val="005D5114"/>
    <w:rsid w:val="005D5852"/>
    <w:rsid w:val="005D591E"/>
    <w:rsid w:val="005D69BA"/>
    <w:rsid w:val="005D6C8E"/>
    <w:rsid w:val="005D6DDB"/>
    <w:rsid w:val="005D79F6"/>
    <w:rsid w:val="005E15BC"/>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091"/>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14905</TotalTime>
  <Pages>81</Pages>
  <Words>18325</Words>
  <Characters>104455</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3566</cp:revision>
  <cp:lastPrinted>2025-03-24T11:33:00Z</cp:lastPrinted>
  <dcterms:created xsi:type="dcterms:W3CDTF">2025-02-13T09:26:00Z</dcterms:created>
  <dcterms:modified xsi:type="dcterms:W3CDTF">2025-08-18T16:17:00Z</dcterms:modified>
</cp:coreProperties>
</file>