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(IDE)</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6F8D214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включает практики, стандарты и механизмы защиты данных и соблюдения требований: протоколы аутентификации и авторизации (</w:t>
      </w:r>
      <w:proofErr w:type="spellStart"/>
      <w:r w:rsidRPr="00EC6FA4">
        <w:rPr>
          <w:i/>
          <w:iCs/>
        </w:rPr>
        <w:t>OAuth</w:t>
      </w:r>
      <w:proofErr w:type="spellEnd"/>
      <w:r w:rsidRPr="003468A4">
        <w:t xml:space="preserve">, </w:t>
      </w:r>
      <w:proofErr w:type="spellStart"/>
      <w:r w:rsidRPr="00EC6FA4">
        <w:rPr>
          <w:i/>
          <w:iCs/>
        </w:rPr>
        <w:t>OAuth</w:t>
      </w:r>
      <w:proofErr w:type="spellEnd"/>
      <w:r w:rsidRPr="00EC6FA4">
        <w:rPr>
          <w:i/>
          <w:iCs/>
        </w:rPr>
        <w:t xml:space="preserve"> 2.0</w:t>
      </w:r>
      <w:r w:rsidRPr="003468A4">
        <w:t>), отраслевые руководства по безопасности (</w:t>
      </w:r>
      <w:r w:rsidRPr="00EC6FA4">
        <w:rPr>
          <w:i/>
          <w:iCs/>
        </w:rPr>
        <w:t>OWASP</w:t>
      </w:r>
      <w:r w:rsidRPr="003468A4">
        <w:t>), криптографические алгоритмы и методы (</w:t>
      </w:r>
      <w:r w:rsidRPr="00EC6FA4">
        <w:rPr>
          <w:i/>
          <w:iCs/>
        </w:rPr>
        <w:t>AES</w:t>
      </w:r>
      <w:r w:rsidRPr="003468A4">
        <w:t xml:space="preserve">, </w:t>
      </w:r>
      <w:r w:rsidRPr="00EC6FA4">
        <w:rPr>
          <w:i/>
          <w:iCs/>
        </w:rPr>
        <w:t>RSA</w:t>
      </w:r>
      <w:r w:rsidRPr="003468A4">
        <w:t xml:space="preserve">, </w:t>
      </w:r>
      <w:r w:rsidRPr="00EC6FA4">
        <w:rPr>
          <w:i/>
          <w:iCs/>
        </w:rPr>
        <w:t>TLS</w:t>
      </w:r>
      <w:r w:rsidRPr="003468A4">
        <w:t xml:space="preserve"> </w:t>
      </w:r>
      <w:proofErr w:type="spellStart"/>
      <w:r w:rsidRPr="00EC6FA4">
        <w:rPr>
          <w:i/>
          <w:iCs/>
        </w:rPr>
        <w:t>pinning</w:t>
      </w:r>
      <w:proofErr w:type="spellEnd"/>
      <w:r w:rsidRPr="003468A4">
        <w:t>), платформенные службы защищённого хранения секретов (</w:t>
      </w:r>
      <w:proofErr w:type="spellStart"/>
      <w:r w:rsidRPr="00EC6FA4">
        <w:rPr>
          <w:i/>
          <w:iCs/>
        </w:rPr>
        <w:t>Keychain</w:t>
      </w:r>
      <w:proofErr w:type="spellEnd"/>
      <w:r w:rsidRPr="003468A4">
        <w:t xml:space="preserve">), а также нормативные акты (напр., </w:t>
      </w:r>
      <w:r w:rsidRPr="00EC6FA4">
        <w:rPr>
          <w:i/>
          <w:iCs/>
        </w:rPr>
        <w:t>GDPR</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389315BA" w14:textId="77777777" w:rsidTr="00794ACC">
        <w:trPr>
          <w:trHeight w:val="300"/>
        </w:trPr>
        <w:tc>
          <w:tcPr>
            <w:tcW w:w="2619" w:type="dxa"/>
            <w:noWrap/>
          </w:tcPr>
          <w:p w14:paraId="50C7CFA1" w14:textId="5F729576" w:rsidR="005B0A82" w:rsidRPr="006A6A53" w:rsidRDefault="005B0A82" w:rsidP="005B0A82">
            <w:pPr>
              <w:spacing w:before="60" w:after="60" w:line="240" w:lineRule="auto"/>
              <w:jc w:val="left"/>
            </w:pPr>
            <w:r w:rsidRPr="006A6A53">
              <w:rPr>
                <w:b/>
                <w:bCs/>
              </w:rPr>
              <w:lastRenderedPageBreak/>
              <w:t>Technology</w:t>
            </w:r>
          </w:p>
        </w:tc>
        <w:tc>
          <w:tcPr>
            <w:tcW w:w="884" w:type="dxa"/>
            <w:noWrap/>
          </w:tcPr>
          <w:p w14:paraId="1C7533C6" w14:textId="49DCB372" w:rsidR="005B0A82" w:rsidRPr="006A6A53" w:rsidRDefault="005B0A82" w:rsidP="005B0A82">
            <w:pPr>
              <w:spacing w:before="60" w:after="60" w:line="240" w:lineRule="auto"/>
              <w:jc w:val="center"/>
            </w:pPr>
            <w:r w:rsidRPr="006A6A53">
              <w:rPr>
                <w:b/>
                <w:bCs/>
              </w:rPr>
              <w:t>EU count</w:t>
            </w:r>
          </w:p>
        </w:tc>
        <w:tc>
          <w:tcPr>
            <w:tcW w:w="884" w:type="dxa"/>
            <w:noWrap/>
          </w:tcPr>
          <w:p w14:paraId="574FF610" w14:textId="32DD059D" w:rsidR="005B0A82" w:rsidRPr="006A6A53" w:rsidRDefault="005B0A82" w:rsidP="005B0A82">
            <w:pPr>
              <w:spacing w:before="60" w:after="60" w:line="240" w:lineRule="auto"/>
              <w:jc w:val="center"/>
            </w:pPr>
            <w:r w:rsidRPr="006A6A53">
              <w:rPr>
                <w:b/>
                <w:bCs/>
              </w:rPr>
              <w:t>EU %</w:t>
            </w:r>
          </w:p>
        </w:tc>
        <w:tc>
          <w:tcPr>
            <w:tcW w:w="2619" w:type="dxa"/>
            <w:noWrap/>
          </w:tcPr>
          <w:p w14:paraId="319FBA6D" w14:textId="642D32C5" w:rsidR="005B0A82" w:rsidRPr="006A6A53" w:rsidRDefault="005B0A82" w:rsidP="005B0A82">
            <w:pPr>
              <w:spacing w:before="60" w:after="60" w:line="240" w:lineRule="auto"/>
              <w:jc w:val="left"/>
            </w:pPr>
            <w:r w:rsidRPr="006A6A53">
              <w:rPr>
                <w:b/>
                <w:bCs/>
              </w:rPr>
              <w:t>Technology</w:t>
            </w:r>
          </w:p>
        </w:tc>
        <w:tc>
          <w:tcPr>
            <w:tcW w:w="884" w:type="dxa"/>
            <w:noWrap/>
          </w:tcPr>
          <w:p w14:paraId="57BFAFAD" w14:textId="3501AE7F" w:rsidR="005B0A82" w:rsidRPr="006A6A53" w:rsidRDefault="005B0A82" w:rsidP="005B0A82">
            <w:pPr>
              <w:spacing w:before="60" w:after="60" w:line="240" w:lineRule="auto"/>
              <w:jc w:val="center"/>
            </w:pPr>
            <w:r w:rsidRPr="006A6A53">
              <w:rPr>
                <w:b/>
                <w:bCs/>
              </w:rPr>
              <w:t>NA count</w:t>
            </w:r>
          </w:p>
        </w:tc>
        <w:tc>
          <w:tcPr>
            <w:tcW w:w="884" w:type="dxa"/>
            <w:noWrap/>
          </w:tcPr>
          <w:p w14:paraId="6FC37602" w14:textId="1C900C70" w:rsidR="005B0A82" w:rsidRPr="006A6A53" w:rsidRDefault="005B0A82" w:rsidP="005B0A82">
            <w:pPr>
              <w:spacing w:before="60" w:after="60" w:line="240" w:lineRule="auto"/>
              <w:jc w:val="center"/>
            </w:pPr>
            <w:r w:rsidRPr="006A6A53">
              <w:rPr>
                <w:b/>
                <w:bCs/>
              </w:rPr>
              <w:t>NA %</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5B0A82" w:rsidRPr="006A6A53" w14:paraId="13774155" w14:textId="77777777" w:rsidTr="00794ACC">
        <w:trPr>
          <w:trHeight w:val="300"/>
        </w:trPr>
        <w:tc>
          <w:tcPr>
            <w:tcW w:w="2619" w:type="dxa"/>
            <w:noWrap/>
            <w:vAlign w:val="center"/>
            <w:hideMark/>
          </w:tcPr>
          <w:p w14:paraId="1F83EC7A" w14:textId="77777777" w:rsidR="005B0A82" w:rsidRPr="006A6A53" w:rsidRDefault="005B0A82" w:rsidP="005B0A8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46148391"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1C082A18" w14:textId="4FC9383F" w:rsidR="005B0A82" w:rsidRPr="007F25E2" w:rsidRDefault="005B0A82" w:rsidP="005B0A82">
            <w:pPr>
              <w:spacing w:before="60" w:after="60" w:line="240" w:lineRule="auto"/>
              <w:jc w:val="left"/>
              <w:rPr>
                <w:lang w:val="en-US"/>
              </w:rPr>
            </w:pPr>
          </w:p>
        </w:tc>
        <w:tc>
          <w:tcPr>
            <w:tcW w:w="884" w:type="dxa"/>
            <w:noWrap/>
            <w:vAlign w:val="center"/>
            <w:hideMark/>
          </w:tcPr>
          <w:p w14:paraId="00439B16" w14:textId="757FA8B8" w:rsidR="005B0A82" w:rsidRPr="00794ACC" w:rsidRDefault="005B0A82" w:rsidP="005B0A82">
            <w:pPr>
              <w:spacing w:before="60" w:after="60" w:line="240" w:lineRule="auto"/>
              <w:jc w:val="center"/>
              <w:rPr>
                <w:lang w:val="en-US"/>
              </w:rPr>
            </w:pPr>
          </w:p>
        </w:tc>
        <w:tc>
          <w:tcPr>
            <w:tcW w:w="884" w:type="dxa"/>
            <w:noWrap/>
            <w:vAlign w:val="center"/>
            <w:hideMark/>
          </w:tcPr>
          <w:p w14:paraId="3CA14F98" w14:textId="3D7880E6" w:rsidR="005B0A82" w:rsidRPr="00794ACC" w:rsidRDefault="005B0A82" w:rsidP="005B0A8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694BC1FB" w:rsidR="00971D56" w:rsidRPr="007D780E" w:rsidRDefault="007D780E" w:rsidP="007D780E">
      <w:pPr>
        <w:spacing w:before="360"/>
      </w:pPr>
      <w:r w:rsidRPr="007D780E">
        <w:t xml:space="preserve">Для Android упоминания разрежены и распределены между </w:t>
      </w:r>
      <w:proofErr w:type="spellStart"/>
      <w:r w:rsidRPr="007D780E">
        <w:t>OAuth</w:t>
      </w:r>
      <w:proofErr w:type="spellEnd"/>
      <w:r w:rsidRPr="007D780E">
        <w:t xml:space="preserve"> / </w:t>
      </w:r>
      <w:proofErr w:type="spellStart"/>
      <w:r w:rsidRPr="007D780E">
        <w:t>OAuth</w:t>
      </w:r>
      <w:proofErr w:type="spellEnd"/>
      <w:r w:rsidRPr="007D780E">
        <w:t xml:space="preserve"> 2.0, GDPR и OWASP без выраженного доминирования; профиль указывает на преобладание ссылок на протоколы авторизации и общие рамки соблюдения регламентов.</w:t>
      </w:r>
      <w:r w:rsidRPr="007D780E">
        <w:t xml:space="preserve"> </w:t>
      </w:r>
      <w:r w:rsidRPr="007D780E">
        <w:t xml:space="preserve">Для iOS наблюдается устойчивое лидерство </w:t>
      </w:r>
      <w:proofErr w:type="spellStart"/>
      <w:r w:rsidRPr="007D780E">
        <w:t>Keychain</w:t>
      </w:r>
      <w:proofErr w:type="spellEnd"/>
      <w:r w:rsidRPr="007D780E">
        <w:t xml:space="preserve"> как платформенного средства безопасного хранения, при сопутствующих упоминаниях </w:t>
      </w:r>
      <w:proofErr w:type="spellStart"/>
      <w:r w:rsidRPr="007D780E">
        <w:t>OAuth</w:t>
      </w:r>
      <w:proofErr w:type="spellEnd"/>
      <w:r w:rsidRPr="007D780E">
        <w:t xml:space="preserve">/ </w:t>
      </w:r>
      <w:proofErr w:type="spellStart"/>
      <w:r w:rsidRPr="007D780E">
        <w:t>OAuth</w:t>
      </w:r>
      <w:proofErr w:type="spellEnd"/>
      <w:r w:rsidRPr="007D780E">
        <w:t xml:space="preserve"> 2.0; дополнительно точечно представлены элементы криптографии (AES, RSA) и TLS </w:t>
      </w:r>
      <w:proofErr w:type="spellStart"/>
      <w:r w:rsidRPr="007D780E">
        <w:t>pinning</w:t>
      </w:r>
      <w:proofErr w:type="spellEnd"/>
      <w:r w:rsidRPr="007D780E">
        <w:t>.</w:t>
      </w:r>
    </w:p>
    <w:p w14:paraId="384B8D08" w14:textId="77777777" w:rsidR="0078535E" w:rsidRDefault="0078535E" w:rsidP="0078535E">
      <w:pPr>
        <w:jc w:val="left"/>
      </w:pPr>
    </w:p>
    <w:p w14:paraId="301ADD38" w14:textId="77777777" w:rsidR="0078535E" w:rsidRDefault="0078535E" w:rsidP="0078535E">
      <w:pPr>
        <w:jc w:val="left"/>
      </w:pPr>
    </w:p>
    <w:p w14:paraId="379C175D" w14:textId="77777777" w:rsidR="002B1AFD" w:rsidRDefault="002B1AFD" w:rsidP="002B1AFD">
      <w:pPr>
        <w:spacing w:line="240" w:lineRule="auto"/>
        <w:jc w:val="left"/>
      </w:pPr>
    </w:p>
    <w:p w14:paraId="7A39115D" w14:textId="77777777" w:rsidR="002B1AFD" w:rsidRDefault="002B1AFD" w:rsidP="002B1AFD">
      <w:pPr>
        <w:spacing w:line="240" w:lineRule="auto"/>
        <w:jc w:val="left"/>
      </w:pPr>
    </w:p>
    <w:p w14:paraId="7A5C2108" w14:textId="77777777" w:rsidR="002B1AFD" w:rsidRDefault="002B1AFD" w:rsidP="002B1AFD">
      <w:pPr>
        <w:spacing w:line="240" w:lineRule="auto"/>
        <w:jc w:val="left"/>
      </w:pPr>
    </w:p>
    <w:p w14:paraId="3B6C20AD" w14:textId="77777777" w:rsidR="002B1AFD" w:rsidRDefault="002B1AFD" w:rsidP="002B1AFD">
      <w:pPr>
        <w:spacing w:line="240" w:lineRule="auto"/>
        <w:jc w:val="left"/>
      </w:pPr>
    </w:p>
    <w:p w14:paraId="3E2E4E8F" w14:textId="77777777" w:rsidR="002B1AFD" w:rsidRDefault="002B1AFD" w:rsidP="002B1AFD">
      <w:pPr>
        <w:spacing w:line="240" w:lineRule="auto"/>
        <w:jc w:val="left"/>
      </w:pPr>
    </w:p>
    <w:p w14:paraId="14F0FCA1" w14:textId="77777777" w:rsidR="002B0081" w:rsidRPr="002B0081" w:rsidRDefault="002B0081" w:rsidP="002B0081">
      <w:pPr>
        <w:spacing w:line="240" w:lineRule="auto"/>
        <w:jc w:val="left"/>
      </w:pPr>
    </w:p>
    <w:p w14:paraId="3848E56C" w14:textId="77777777" w:rsidR="002C04C4" w:rsidRDefault="002C04C4" w:rsidP="00A334C9"/>
    <w:p w14:paraId="3EA6176D" w14:textId="77777777" w:rsidR="002C04C4" w:rsidRDefault="002C04C4" w:rsidP="00A334C9"/>
    <w:p w14:paraId="496C11D7" w14:textId="77777777" w:rsidR="00A06A51" w:rsidRDefault="00A06A51" w:rsidP="00A334C9"/>
    <w:p w14:paraId="4A1D68D5" w14:textId="77777777" w:rsidR="00A06A51" w:rsidRPr="00E0401B" w:rsidRDefault="00A06A51" w:rsidP="00A334C9"/>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794ACC">
        <w:rPr>
          <w:lang w:val="en-US"/>
        </w:rPr>
        <w:t xml:space="preserve">, </w:t>
      </w:r>
      <w:r w:rsidRPr="009663C4">
        <w:rPr>
          <w:lang w:val="en-US"/>
        </w:rPr>
        <w:t>I</w:t>
      </w:r>
      <w:r w:rsidRPr="00794ACC">
        <w:rPr>
          <w:lang w:val="en-US"/>
        </w:rPr>
        <w:t xml:space="preserve">., </w:t>
      </w:r>
      <w:r w:rsidRPr="009663C4">
        <w:rPr>
          <w:lang w:val="en-US"/>
        </w:rPr>
        <w:t>Georgiou</w:t>
      </w:r>
      <w:r w:rsidRPr="00794ACC">
        <w:rPr>
          <w:lang w:val="en-US"/>
        </w:rPr>
        <w:t xml:space="preserve">, </w:t>
      </w:r>
      <w:r w:rsidRPr="009663C4">
        <w:rPr>
          <w:lang w:val="en-US"/>
        </w:rPr>
        <w:t>K</w:t>
      </w:r>
      <w:r w:rsidRPr="00794ACC">
        <w:rPr>
          <w:lang w:val="en-US"/>
        </w:rPr>
        <w:t xml:space="preserve">., </w:t>
      </w:r>
      <w:r w:rsidRPr="009663C4">
        <w:rPr>
          <w:lang w:val="en-US"/>
        </w:rPr>
        <w:t>Mittas</w:t>
      </w:r>
      <w:r w:rsidRPr="00794ACC">
        <w:rPr>
          <w:lang w:val="en-US"/>
        </w:rPr>
        <w:t xml:space="preserve">, </w:t>
      </w:r>
      <w:r w:rsidRPr="009663C4">
        <w:rPr>
          <w:lang w:val="en-US"/>
        </w:rPr>
        <w:t>N</w:t>
      </w:r>
      <w:r w:rsidRPr="00794ACC">
        <w:rPr>
          <w:lang w:val="en-US"/>
        </w:rPr>
        <w:t xml:space="preserve">., &amp; </w:t>
      </w:r>
      <w:r w:rsidRPr="009663C4">
        <w:rPr>
          <w:lang w:val="en-US"/>
        </w:rPr>
        <w:t>Angelis</w:t>
      </w:r>
      <w:r w:rsidRPr="00794ACC">
        <w:rPr>
          <w:lang w:val="en-US"/>
        </w:rPr>
        <w:t xml:space="preserve">, </w:t>
      </w:r>
      <w:r w:rsidRPr="009663C4">
        <w:rPr>
          <w:lang w:val="en-US"/>
        </w:rPr>
        <w:t>L</w:t>
      </w:r>
      <w:r w:rsidRPr="00794ACC">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1CB6F" w14:textId="77777777" w:rsidR="00443073" w:rsidRDefault="00443073" w:rsidP="0095343D">
      <w:pPr>
        <w:spacing w:after="0" w:line="240" w:lineRule="auto"/>
      </w:pPr>
      <w:r>
        <w:separator/>
      </w:r>
    </w:p>
  </w:endnote>
  <w:endnote w:type="continuationSeparator" w:id="0">
    <w:p w14:paraId="4329A5CC" w14:textId="77777777" w:rsidR="00443073" w:rsidRDefault="00443073"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E5082" w14:textId="77777777" w:rsidR="00443073" w:rsidRDefault="00443073" w:rsidP="0095343D">
      <w:pPr>
        <w:spacing w:after="0" w:line="240" w:lineRule="auto"/>
      </w:pPr>
      <w:r>
        <w:separator/>
      </w:r>
    </w:p>
  </w:footnote>
  <w:footnote w:type="continuationSeparator" w:id="0">
    <w:p w14:paraId="2AA0FA58" w14:textId="77777777" w:rsidR="00443073" w:rsidRDefault="00443073"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14269</TotalTime>
  <Pages>59</Pages>
  <Words>13404</Words>
  <Characters>76407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3451</cp:revision>
  <cp:lastPrinted>2025-03-24T11:33:00Z</cp:lastPrinted>
  <dcterms:created xsi:type="dcterms:W3CDTF">2025-02-13T09:26:00Z</dcterms:created>
  <dcterms:modified xsi:type="dcterms:W3CDTF">2025-08-10T15:32:00Z</dcterms:modified>
</cp:coreProperties>
</file>