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3D86" w14:textId="77777777" w:rsidR="00AD327D" w:rsidRPr="006A4161" w:rsidRDefault="00AD327D" w:rsidP="00AD327D">
      <w:pPr>
        <w:pStyle w:val="Title"/>
      </w:pPr>
      <w:r w:rsidRPr="006A4161">
        <w:t>SPI - Print Image and Text On LCD Screen</w:t>
      </w:r>
    </w:p>
    <w:p w14:paraId="3C3ACADA" w14:textId="77777777" w:rsidR="00AD327D" w:rsidRDefault="00AD327D" w:rsidP="006A4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9E50A42" w14:textId="69494DCE" w:rsidR="006A4161" w:rsidRPr="006A4161" w:rsidRDefault="006A4161" w:rsidP="006A4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A4161">
        <w:rPr>
          <w:rFonts w:ascii="Times New Roman" w:eastAsia="Times New Roman" w:hAnsi="Times New Roman" w:cs="Times New Roman"/>
          <w:sz w:val="24"/>
          <w:szCs w:val="24"/>
        </w:rPr>
        <w:t>If you are not familiar with SPI, please read </w:t>
      </w:r>
      <w:hyperlink r:id="rId5" w:history="1">
        <w:r w:rsidRPr="006A4161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Introduction to SPI</w:t>
        </w:r>
      </w:hyperlink>
      <w:r w:rsidRPr="006A4161">
        <w:rPr>
          <w:rFonts w:ascii="Times New Roman" w:eastAsia="Times New Roman" w:hAnsi="Times New Roman" w:cs="Times New Roman"/>
          <w:sz w:val="24"/>
          <w:szCs w:val="24"/>
        </w:rPr>
        <w:t> first.</w:t>
      </w:r>
    </w:p>
    <w:p w14:paraId="72C74FC7" w14:textId="77777777" w:rsidR="006A4161" w:rsidRPr="006A4161" w:rsidRDefault="006A4161" w:rsidP="006A4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A4161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34C8246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6A4161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Preparation</w:t>
      </w:r>
    </w:p>
    <w:p w14:paraId="092E9060" w14:textId="77777777" w:rsidR="006A4161" w:rsidRPr="006A4161" w:rsidRDefault="006A4161" w:rsidP="006A4161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AmebaD [ </w:t>
      </w:r>
      <w:hyperlink r:id="rId6" w:anchor="rtk_amb23" w:history="1">
        <w:r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AMB23</w:t>
        </w:r>
      </w:hyperlink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 / </w:t>
      </w:r>
      <w:hyperlink r:id="rId7" w:anchor="rtk_amb21" w:history="1">
        <w:r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AMB21</w:t>
        </w:r>
      </w:hyperlink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 / </w:t>
      </w:r>
      <w:hyperlink r:id="rId8" w:anchor="rtk_amb22" w:history="1">
        <w:r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AMB22</w:t>
        </w:r>
      </w:hyperlink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 / </w:t>
      </w:r>
      <w:hyperlink r:id="rId9" w:anchor="partner_bw16" w:history="1">
        <w:r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BW16</w:t>
        </w:r>
      </w:hyperlink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 ] x 1</w:t>
      </w:r>
    </w:p>
    <w:p w14:paraId="5A65574A" w14:textId="77777777" w:rsidR="006A4161" w:rsidRPr="006A4161" w:rsidRDefault="006A4161" w:rsidP="006A4161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ILI9341 TFT LCD with SPI interface x 1</w:t>
      </w:r>
    </w:p>
    <w:p w14:paraId="7CD2965C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6A4161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Example</w:t>
      </w:r>
    </w:p>
    <w:p w14:paraId="35DF3784" w14:textId="77777777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We have tested the following two models of ILI9341 TFT LCD with SPI interface:</w:t>
      </w:r>
    </w:p>
    <w:p w14:paraId="4F61929A" w14:textId="77777777" w:rsidR="006A4161" w:rsidRPr="006A4161" w:rsidRDefault="006A4161" w:rsidP="006A4161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Adafruit 2.8″ TFT LCD (with touch screen)</w:t>
      </w:r>
    </w:p>
    <w:p w14:paraId="6D41FB01" w14:textId="77777777" w:rsidR="006A4161" w:rsidRPr="006A4161" w:rsidRDefault="00000000" w:rsidP="006A4161">
      <w:pPr>
        <w:numPr>
          <w:ilvl w:val="1"/>
          <w:numId w:val="2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hyperlink r:id="rId10" w:history="1">
        <w:r w:rsidR="006A4161"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https://www.adafruit.com/products/1651</w:t>
        </w:r>
      </w:hyperlink>
    </w:p>
    <w:p w14:paraId="17474622" w14:textId="77777777" w:rsidR="006A4161" w:rsidRPr="006A4161" w:rsidRDefault="00000000" w:rsidP="006A4161">
      <w:pPr>
        <w:numPr>
          <w:ilvl w:val="1"/>
          <w:numId w:val="2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hyperlink r:id="rId11" w:history="1">
        <w:r w:rsidR="006A4161"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https://learn.adafruit.com/adafruit-2-8-tft-touch-shield-v2?view=all</w:t>
        </w:r>
      </w:hyperlink>
    </w:p>
    <w:p w14:paraId="245A4811" w14:textId="77777777" w:rsidR="006A4161" w:rsidRPr="006A4161" w:rsidRDefault="006A4161" w:rsidP="006A4161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QVGA 2.2″ TFT LCD</w:t>
      </w:r>
    </w:p>
    <w:p w14:paraId="368B731E" w14:textId="77777777" w:rsidR="006A4161" w:rsidRPr="006A4161" w:rsidRDefault="00000000" w:rsidP="006A4161">
      <w:pPr>
        <w:numPr>
          <w:ilvl w:val="1"/>
          <w:numId w:val="2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hyperlink r:id="rId12" w:history="1">
        <w:r w:rsidR="006A4161" w:rsidRPr="006A4161">
          <w:rPr>
            <w:rFonts w:ascii="Times New Roman" w:eastAsia="Times New Roman" w:hAnsi="Times New Roman" w:cs="Times New Roman"/>
            <w:color w:val="2461B8"/>
            <w:sz w:val="27"/>
            <w:szCs w:val="27"/>
            <w:u w:val="single"/>
            <w:bdr w:val="none" w:sz="0" w:space="0" w:color="auto" w:frame="1"/>
          </w:rPr>
          <w:t>http://www.lcdwiki.com/2.2inch_SPI_Module_ILI9341_SKU:MSP2202</w:t>
        </w:r>
      </w:hyperlink>
    </w:p>
    <w:p w14:paraId="1ECC0F8E" w14:textId="77777777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Common pins in ILI9341 TFT LCD with SPI interface:</w:t>
      </w:r>
    </w:p>
    <w:p w14:paraId="157D8345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MOSI: Standard SPI Pin</w:t>
      </w:r>
    </w:p>
    <w:p w14:paraId="0B21A8E3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MISO: Standard SPI Pin</w:t>
      </w:r>
    </w:p>
    <w:p w14:paraId="2558D67F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SLK: Standard SPI Pin</w:t>
      </w:r>
    </w:p>
    <w:p w14:paraId="5C298B4B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CS: Standard SPI Pin</w:t>
      </w:r>
    </w:p>
    <w:p w14:paraId="40D1AF30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RESET: Used to reboot LCD.</w:t>
      </w:r>
    </w:p>
    <w:p w14:paraId="473A9057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D/C: Data/Command. When it is at LOW, the signal transmitted are commands, otherwise the data transmitted are data.</w:t>
      </w:r>
    </w:p>
    <w:p w14:paraId="2CC03385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LED (or BL): Adapt the screen backlight. Can be controlled by PWM or connected to VCC for 100% backlight.</w:t>
      </w:r>
    </w:p>
    <w:p w14:paraId="64854DF4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VCC: Connected to 3V or 5V, depends on its spec.</w:t>
      </w:r>
    </w:p>
    <w:p w14:paraId="690C8545" w14:textId="77777777" w:rsidR="006A4161" w:rsidRPr="006A4161" w:rsidRDefault="006A4161" w:rsidP="006A416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GND: Connected to GND.</w:t>
      </w:r>
    </w:p>
    <w:p w14:paraId="62BBC8FF" w14:textId="77777777" w:rsidR="00E81BA3" w:rsidRDefault="00E81BA3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</w:pPr>
    </w:p>
    <w:p w14:paraId="757C5FF1" w14:textId="77777777" w:rsidR="00E81BA3" w:rsidRDefault="00E81BA3">
      <w:pP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br w:type="page"/>
      </w:r>
    </w:p>
    <w:p w14:paraId="20619D08" w14:textId="591AD579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1F7A6E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lastRenderedPageBreak/>
        <w:t>AMB21 / AMB22 and QVGA TFT LCD Wiring Diagram:</w:t>
      </w:r>
    </w:p>
    <w:p w14:paraId="5BD20423" w14:textId="6D294E05" w:rsidR="006A4161" w:rsidRPr="006A4161" w:rsidRDefault="00670F1B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70F1B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64A2FF9D" wp14:editId="6499C086">
            <wp:extent cx="5731510" cy="3609975"/>
            <wp:effectExtent l="0" t="0" r="2540" b="9525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074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9711B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AMB23 and QVGA TFT LCD Wiring Diagram:</w:t>
      </w:r>
    </w:p>
    <w:p w14:paraId="41B36E88" w14:textId="61826843" w:rsidR="006A4161" w:rsidRPr="006A4161" w:rsidRDefault="009711BD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9711BD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62E6B804" wp14:editId="482E5DF3">
            <wp:extent cx="5420481" cy="3639058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6474" w14:textId="77777777" w:rsidR="00E81BA3" w:rsidRDefault="00E81BA3">
      <w:pP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bdr w:val="none" w:sz="0" w:space="0" w:color="auto" w:frame="1"/>
        </w:rPr>
        <w:br w:type="page"/>
      </w:r>
    </w:p>
    <w:p w14:paraId="1BA440AF" w14:textId="3F798A5A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bdr w:val="none" w:sz="0" w:space="0" w:color="auto" w:frame="1"/>
        </w:rPr>
        <w:lastRenderedPageBreak/>
        <w:t>BW16 and QVGA TFT LCD Wiring Diagram:</w:t>
      </w:r>
    </w:p>
    <w:p w14:paraId="075234EC" w14:textId="5109C38B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1B49F955" wp14:editId="641692C7">
            <wp:extent cx="5731510" cy="3199130"/>
            <wp:effectExtent l="0" t="0" r="2540" b="127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1788" w14:textId="66ABA05C" w:rsidR="006A4161" w:rsidRPr="006A4161" w:rsidRDefault="00EE3F1F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E45E1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BW16</w:t>
      </w:r>
      <w: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-T</w:t>
      </w:r>
      <w:r w:rsidRPr="00E45E1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 xml:space="preserve">ypeC </w:t>
      </w:r>
      <w:r w:rsidR="006A4161" w:rsidRPr="00E45E1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and QVGA TFT LCD Wiring Diagram:</w:t>
      </w:r>
    </w:p>
    <w:p w14:paraId="5F08B622" w14:textId="733C3885" w:rsidR="006A4161" w:rsidRDefault="006D07EB" w:rsidP="001C1B17">
      <w:pPr>
        <w:spacing w:after="0" w:line="240" w:lineRule="auto"/>
        <w:jc w:val="center"/>
        <w:textAlignment w:val="baseline"/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bdr w:val="none" w:sz="0" w:space="0" w:color="auto" w:frame="1"/>
        </w:rPr>
      </w:pPr>
      <w:r w:rsidRPr="006D07EB">
        <w:rPr>
          <w:rFonts w:ascii="Titillium Web" w:eastAsia="Times New Roman" w:hAnsi="Titillium Web" w:cs="Times New Roman"/>
          <w:b/>
          <w:bCs/>
          <w:noProof/>
          <w:color w:val="4F4E4E"/>
          <w:sz w:val="27"/>
          <w:szCs w:val="27"/>
          <w:bdr w:val="none" w:sz="0" w:space="0" w:color="auto" w:frame="1"/>
        </w:rPr>
        <w:drawing>
          <wp:inline distT="0" distB="0" distL="0" distR="0" wp14:anchorId="68514624" wp14:editId="41BB2BB9">
            <wp:extent cx="4933988" cy="32262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219" cy="32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7ABE" w14:textId="77777777" w:rsidR="00E81BA3" w:rsidRDefault="00E81BA3">
      <w:pP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br w:type="page"/>
      </w:r>
    </w:p>
    <w:p w14:paraId="77C4EFD0" w14:textId="60C39419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B861D6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lastRenderedPageBreak/>
        <w:t>AMB21 / AMB22 and Adafruit 2.8” TFT LCD touch shield:</w:t>
      </w:r>
    </w:p>
    <w:p w14:paraId="5930F399" w14:textId="77777777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Please note that this shield model enables the backlight by default and pin 8 is not for backlight, and the VCC should be connected to 5V.</w:t>
      </w:r>
    </w:p>
    <w:p w14:paraId="45FE2A4B" w14:textId="24DD51BD" w:rsidR="006A4161" w:rsidRPr="006A4161" w:rsidRDefault="00F923AA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F923AA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5995815F" wp14:editId="28920DD2">
            <wp:extent cx="5593278" cy="356628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9619" cy="35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6CC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9711B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AMB23 and Adafruit 2.8” TFT LCD Touch Shield:</w:t>
      </w:r>
    </w:p>
    <w:p w14:paraId="77D97AFF" w14:textId="596966DD" w:rsidR="006A4161" w:rsidRPr="006A4161" w:rsidRDefault="009711BD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9711BD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3B9C19E8" wp14:editId="6E9AA927">
            <wp:extent cx="5611008" cy="366763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F23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bdr w:val="none" w:sz="0" w:space="0" w:color="auto" w:frame="1"/>
        </w:rPr>
        <w:lastRenderedPageBreak/>
        <w:t>BW16 and Adafruit 2.8” TFT LCD Touch Shield:</w:t>
      </w:r>
    </w:p>
    <w:p w14:paraId="41C47E23" w14:textId="15161CE0" w:rsid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32F9E09B" wp14:editId="66D919C4">
            <wp:extent cx="5731510" cy="3796665"/>
            <wp:effectExtent l="0" t="0" r="2540" b="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1778" w14:textId="39B7B169" w:rsidR="00211A7E" w:rsidRPr="006A4161" w:rsidRDefault="00211A7E" w:rsidP="00211A7E">
      <w:pPr>
        <w:spacing w:after="0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E45E1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BW16</w:t>
      </w:r>
      <w:r w:rsidR="009711B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-T</w:t>
      </w:r>
      <w:r w:rsidRPr="00E45E1D">
        <w:rPr>
          <w:rFonts w:ascii="Titillium Web" w:eastAsia="Times New Roman" w:hAnsi="Titillium Web" w:cs="Times New Roman"/>
          <w:b/>
          <w:bCs/>
          <w:color w:val="4F4E4E"/>
          <w:sz w:val="27"/>
          <w:szCs w:val="27"/>
          <w:highlight w:val="yellow"/>
          <w:bdr w:val="none" w:sz="0" w:space="0" w:color="auto" w:frame="1"/>
        </w:rPr>
        <w:t>ypeC and Adafruit 2.8” TFT LCD Touch Shield:</w:t>
      </w:r>
    </w:p>
    <w:p w14:paraId="59977E21" w14:textId="5FFBAF74" w:rsidR="00211A7E" w:rsidRPr="006A4161" w:rsidRDefault="00211A7E" w:rsidP="001B3227">
      <w:pPr>
        <w:spacing w:after="384" w:line="240" w:lineRule="auto"/>
        <w:jc w:val="center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211A7E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5586E6E1" wp14:editId="1D728BE8">
            <wp:extent cx="5082363" cy="3269245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252" cy="32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D843" w14:textId="77777777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Open the example, “File”</w:t>
      </w: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→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 xml:space="preserve"> </w:t>
      </w:r>
      <w:r w:rsidRPr="006A4161">
        <w:rPr>
          <w:rFonts w:ascii="Titillium Web" w:eastAsia="Times New Roman" w:hAnsi="Titillium Web" w:cs="Titillium Web"/>
          <w:color w:val="4F4E4E"/>
          <w:sz w:val="27"/>
          <w:szCs w:val="27"/>
        </w:rPr>
        <w:t>“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Examples</w:t>
      </w:r>
      <w:r w:rsidRPr="006A4161">
        <w:rPr>
          <w:rFonts w:ascii="Titillium Web" w:eastAsia="Times New Roman" w:hAnsi="Titillium Web" w:cs="Titillium Web"/>
          <w:color w:val="4F4E4E"/>
          <w:sz w:val="27"/>
          <w:szCs w:val="27"/>
        </w:rPr>
        <w:t>”</w:t>
      </w: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→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 xml:space="preserve"> </w:t>
      </w:r>
      <w:r w:rsidRPr="006A4161">
        <w:rPr>
          <w:rFonts w:ascii="Titillium Web" w:eastAsia="Times New Roman" w:hAnsi="Titillium Web" w:cs="Titillium Web"/>
          <w:color w:val="4F4E4E"/>
          <w:sz w:val="27"/>
          <w:szCs w:val="27"/>
        </w:rPr>
        <w:t>“</w:t>
      </w:r>
      <w:proofErr w:type="spellStart"/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AmebaSPI</w:t>
      </w:r>
      <w:proofErr w:type="spellEnd"/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 xml:space="preserve">” </w:t>
      </w: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→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 xml:space="preserve"> </w:t>
      </w:r>
      <w:r w:rsidRPr="006A4161">
        <w:rPr>
          <w:rFonts w:ascii="Titillium Web" w:eastAsia="Times New Roman" w:hAnsi="Titillium Web" w:cs="Titillium Web"/>
          <w:color w:val="4F4E4E"/>
          <w:sz w:val="27"/>
          <w:szCs w:val="27"/>
        </w:rPr>
        <w:t>“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ILI9341_TFT_LCD_basic</w:t>
      </w:r>
      <w:r w:rsidRPr="006A4161">
        <w:rPr>
          <w:rFonts w:ascii="Titillium Web" w:eastAsia="Times New Roman" w:hAnsi="Titillium Web" w:cs="Titillium Web"/>
          <w:color w:val="4F4E4E"/>
          <w:sz w:val="27"/>
          <w:szCs w:val="27"/>
        </w:rPr>
        <w:t>”</w:t>
      </w:r>
    </w:p>
    <w:p w14:paraId="55A04A1F" w14:textId="1906E790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lastRenderedPageBreak/>
        <w:drawing>
          <wp:inline distT="0" distB="0" distL="0" distR="0" wp14:anchorId="372A7546" wp14:editId="1AD5D988">
            <wp:extent cx="5709920" cy="4763135"/>
            <wp:effectExtent l="0" t="0" r="508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618E" w14:textId="77777777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Compile and upload to Ameba, then press the reset button.</w:t>
      </w: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br/>
        <w:t xml:space="preserve">Then you can see some display tests appear on the LCD screen, such as displaying different </w:t>
      </w:r>
      <w:proofErr w:type="spellStart"/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colors</w:t>
      </w:r>
      <w:proofErr w:type="spellEnd"/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, drawing vertical and horizontal lines, drawing circles, etc.…</w:t>
      </w:r>
    </w:p>
    <w:p w14:paraId="50D33357" w14:textId="2982A600" w:rsidR="006A4161" w:rsidRPr="006A4161" w:rsidRDefault="006A4161" w:rsidP="006A4161">
      <w:pPr>
        <w:spacing w:after="384" w:line="240" w:lineRule="auto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noProof/>
          <w:color w:val="4F4E4E"/>
          <w:sz w:val="27"/>
          <w:szCs w:val="27"/>
        </w:rPr>
        <w:drawing>
          <wp:inline distT="0" distB="0" distL="0" distR="0" wp14:anchorId="72E1C589" wp14:editId="5B10AB26">
            <wp:extent cx="5731510" cy="1837690"/>
            <wp:effectExtent l="0" t="0" r="2540" b="0"/>
            <wp:docPr id="2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77A2" w14:textId="77777777" w:rsidR="006A4161" w:rsidRPr="006A4161" w:rsidRDefault="006A4161" w:rsidP="006A4161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6A4161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Code Reference</w:t>
      </w:r>
    </w:p>
    <w:p w14:paraId="3CAB5DCA" w14:textId="77777777" w:rsidR="006A4161" w:rsidRPr="006A4161" w:rsidRDefault="006A4161" w:rsidP="006A416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lastRenderedPageBreak/>
        <w:t> </w:t>
      </w:r>
      <w:r w:rsidRPr="006A4161">
        <w:rPr>
          <w:rFonts w:ascii="Times New Roman" w:eastAsia="Times New Roman" w:hAnsi="Times New Roman" w:cs="Times New Roman"/>
          <w:b/>
          <w:bCs/>
          <w:color w:val="4F4E4E"/>
          <w:sz w:val="27"/>
          <w:szCs w:val="27"/>
          <w:bdr w:val="none" w:sz="0" w:space="0" w:color="auto" w:frame="1"/>
        </w:rPr>
        <w:t>RGB 16-bit</w:t>
      </w: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br/>
        <w:t xml:space="preserve">ILI9341 uses RGB 16-bit to display </w:t>
      </w:r>
      <w:proofErr w:type="spellStart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colors</w:t>
      </w:r>
      <w:proofErr w:type="spellEnd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. Different from RGB 24-bit, it uses 5 bits for red, 6 bits for green, 5 bits for blue. For example, the RGB 24-bit representation of sky blue is 0x87CEFF, that is in binary:</w:t>
      </w:r>
    </w:p>
    <w:p w14:paraId="1539E35B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Red: 0x87 = B10000111</w:t>
      </w:r>
    </w:p>
    <w:p w14:paraId="68D3CCC8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Green: 0xCE = B11001110</w:t>
      </w:r>
    </w:p>
    <w:p w14:paraId="206413BD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Blue: 0xFF = B11111111</w:t>
      </w:r>
    </w:p>
    <w:p w14:paraId="3A55EF89" w14:textId="77777777" w:rsidR="006A4161" w:rsidRPr="006A4161" w:rsidRDefault="006A4161" w:rsidP="006A4161">
      <w:pPr>
        <w:spacing w:after="384" w:line="240" w:lineRule="auto"/>
        <w:ind w:left="1440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and converted to RGB 16-bit:</w:t>
      </w:r>
    </w:p>
    <w:p w14:paraId="0DD32540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Red: B10000</w:t>
      </w:r>
    </w:p>
    <w:p w14:paraId="7848D0DA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Green: B110011</w:t>
      </w:r>
    </w:p>
    <w:p w14:paraId="1C813BC6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Blue: B11111</w:t>
      </w:r>
    </w:p>
    <w:p w14:paraId="24DEE915" w14:textId="77777777" w:rsidR="006A4161" w:rsidRPr="006A4161" w:rsidRDefault="006A4161" w:rsidP="006A4161">
      <w:pPr>
        <w:spacing w:after="384" w:line="240" w:lineRule="auto"/>
        <w:ind w:left="1440"/>
        <w:textAlignment w:val="baseline"/>
        <w:rPr>
          <w:rFonts w:ascii="Titillium Web" w:eastAsia="Times New Roman" w:hAnsi="Titillium Web" w:cs="Times New Roman"/>
          <w:color w:val="4F4E4E"/>
          <w:sz w:val="27"/>
          <w:szCs w:val="27"/>
        </w:rPr>
      </w:pPr>
      <w:r w:rsidRPr="006A4161">
        <w:rPr>
          <w:rFonts w:ascii="Titillium Web" w:eastAsia="Times New Roman" w:hAnsi="Titillium Web" w:cs="Times New Roman"/>
          <w:color w:val="4F4E4E"/>
          <w:sz w:val="27"/>
          <w:szCs w:val="27"/>
        </w:rPr>
        <w:t>Then concatenate them, which forms B1000011001111111 = 0x867F</w:t>
      </w:r>
    </w:p>
    <w:p w14:paraId="16A08F6A" w14:textId="77777777" w:rsidR="006A4161" w:rsidRPr="006A4161" w:rsidRDefault="006A4161" w:rsidP="006A416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b/>
          <w:bCs/>
          <w:color w:val="4F4E4E"/>
          <w:sz w:val="27"/>
          <w:szCs w:val="27"/>
          <w:bdr w:val="none" w:sz="0" w:space="0" w:color="auto" w:frame="1"/>
        </w:rPr>
        <w:t>Drawing of ILI9341</w:t>
      </w:r>
    </w:p>
    <w:p w14:paraId="28AAA59C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 xml:space="preserve">First you must specify the range of the rectangle to draw, then pass the 2-byte RGB 16-bit </w:t>
      </w:r>
      <w:proofErr w:type="spellStart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color</w:t>
      </w:r>
      <w:proofErr w:type="spellEnd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 xml:space="preserve"> to ILI9341 corresponding to each pixel one by one, in this way ILI9341 fills each </w:t>
      </w:r>
      <w:proofErr w:type="spellStart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color</w:t>
      </w:r>
      <w:proofErr w:type="spellEnd"/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 xml:space="preserve"> to each pixel.</w:t>
      </w:r>
    </w:p>
    <w:p w14:paraId="35A00BD1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You still must specify the drawing range even though the range covers only one pixel.</w:t>
      </w:r>
    </w:p>
    <w:p w14:paraId="57F228F7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From the rules we mentioned above, we can conclude that drawing vertical or horizontal lines are faster than diagonal lines.</w:t>
      </w:r>
    </w:p>
    <w:p w14:paraId="001A75FC" w14:textId="77777777" w:rsidR="006A4161" w:rsidRPr="006A4161" w:rsidRDefault="006A4161" w:rsidP="006A416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b/>
          <w:bCs/>
          <w:color w:val="4F4E4E"/>
          <w:sz w:val="27"/>
          <w:szCs w:val="27"/>
          <w:bdr w:val="none" w:sz="0" w:space="0" w:color="auto" w:frame="1"/>
        </w:rPr>
        <w:t>Printing text on ILI9341</w:t>
      </w:r>
    </w:p>
    <w:p w14:paraId="122CE764" w14:textId="14E4DF5C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In our API, each character is 5×7 but each character is printed to size 6×8 (its right side and below are left blank), so as to separate from next character. For example, the character “A”:</w:t>
      </w:r>
      <w:r w:rsidRPr="006A4161">
        <w:rPr>
          <w:rFonts w:ascii="Times New Roman" w:eastAsia="Times New Roman" w:hAnsi="Times New Roman" w:cs="Times New Roman"/>
          <w:noProof/>
          <w:color w:val="4F4E4E"/>
          <w:sz w:val="27"/>
          <w:szCs w:val="27"/>
        </w:rPr>
        <w:drawing>
          <wp:inline distT="0" distB="0" distL="0" distR="0" wp14:anchorId="5A640112" wp14:editId="4433DE53">
            <wp:extent cx="1892300" cy="2530475"/>
            <wp:effectExtent l="0" t="0" r="0" b="3175"/>
            <wp:docPr id="1" name="Pictur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AC90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lastRenderedPageBreak/>
        <w:t>The font size represents the dot size. For example, if the font size is 2, each dot in the character is a 2×2 rectangle</w:t>
      </w:r>
    </w:p>
    <w:p w14:paraId="57A9F239" w14:textId="77777777" w:rsidR="006A4161" w:rsidRPr="006A4161" w:rsidRDefault="006A4161" w:rsidP="006A416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b/>
          <w:bCs/>
          <w:color w:val="4F4E4E"/>
          <w:sz w:val="27"/>
          <w:szCs w:val="27"/>
          <w:bdr w:val="none" w:sz="0" w:space="0" w:color="auto" w:frame="1"/>
        </w:rPr>
        <w:t>Screen rotation</w:t>
      </w:r>
    </w:p>
    <w:p w14:paraId="2DBE65ED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ILI9341 provides 0, 90, 180, 270 degrees screen rotation.</w:t>
      </w:r>
    </w:p>
    <w:p w14:paraId="7C58FA2E" w14:textId="77777777" w:rsidR="006A4161" w:rsidRPr="006A4161" w:rsidRDefault="006A4161" w:rsidP="006A4161">
      <w:pPr>
        <w:numPr>
          <w:ilvl w:val="1"/>
          <w:numId w:val="4"/>
        </w:numPr>
        <w:spacing w:after="0" w:line="240" w:lineRule="auto"/>
        <w:ind w:left="2520"/>
        <w:textAlignment w:val="baseline"/>
        <w:rPr>
          <w:rFonts w:ascii="Times New Roman" w:eastAsia="Times New Roman" w:hAnsi="Times New Roman" w:cs="Times New Roman"/>
          <w:color w:val="4F4E4E"/>
          <w:sz w:val="27"/>
          <w:szCs w:val="27"/>
        </w:rPr>
      </w:pPr>
      <w:r w:rsidRPr="006A4161">
        <w:rPr>
          <w:rFonts w:ascii="Times New Roman" w:eastAsia="Times New Roman" w:hAnsi="Times New Roman" w:cs="Times New Roman"/>
          <w:color w:val="4F4E4E"/>
          <w:sz w:val="27"/>
          <w:szCs w:val="27"/>
        </w:rPr>
        <w:t>If the original width is 240 and original height is 320, when the screen rotates 90 degrees, the width becomes 320 and the height becomes 240.</w:t>
      </w:r>
    </w:p>
    <w:p w14:paraId="6B4A46B9" w14:textId="77777777" w:rsidR="009E7BFE" w:rsidRDefault="00000000"/>
    <w:sectPr w:rsidR="009E7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4533"/>
    <w:multiLevelType w:val="multilevel"/>
    <w:tmpl w:val="F278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562605"/>
    <w:multiLevelType w:val="multilevel"/>
    <w:tmpl w:val="9D123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0924099"/>
    <w:multiLevelType w:val="multilevel"/>
    <w:tmpl w:val="C9AA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C541A2"/>
    <w:multiLevelType w:val="multilevel"/>
    <w:tmpl w:val="480E9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88843943">
    <w:abstractNumId w:val="3"/>
  </w:num>
  <w:num w:numId="2" w16cid:durableId="1440027212">
    <w:abstractNumId w:val="0"/>
  </w:num>
  <w:num w:numId="3" w16cid:durableId="349375441">
    <w:abstractNumId w:val="1"/>
  </w:num>
  <w:num w:numId="4" w16cid:durableId="13286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2"/>
    <w:rsid w:val="00134015"/>
    <w:rsid w:val="001602CF"/>
    <w:rsid w:val="001B3227"/>
    <w:rsid w:val="001C1B17"/>
    <w:rsid w:val="001F7A6E"/>
    <w:rsid w:val="00211A7E"/>
    <w:rsid w:val="002B1A56"/>
    <w:rsid w:val="00670F1B"/>
    <w:rsid w:val="006A4161"/>
    <w:rsid w:val="006D07EB"/>
    <w:rsid w:val="007147E3"/>
    <w:rsid w:val="00875192"/>
    <w:rsid w:val="008F75A3"/>
    <w:rsid w:val="009711BD"/>
    <w:rsid w:val="00AD327D"/>
    <w:rsid w:val="00B861D6"/>
    <w:rsid w:val="00E45E1D"/>
    <w:rsid w:val="00E81BA3"/>
    <w:rsid w:val="00EE3F1F"/>
    <w:rsid w:val="00F9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260D"/>
  <w15:chartTrackingRefBased/>
  <w15:docId w15:val="{F4A75519-7832-4E70-8C44-B90DB345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1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1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A416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A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4161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AD327D"/>
    <w:pPr>
      <w:spacing w:after="0" w:line="240" w:lineRule="auto"/>
      <w:contextualSpacing/>
    </w:pPr>
    <w:rPr>
      <w:rFonts w:ascii="Titillium Web" w:eastAsiaTheme="majorEastAsia" w:hAnsi="Titillium Web" w:cstheme="majorBidi"/>
      <w:color w:val="666666"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AD327D"/>
    <w:rPr>
      <w:rFonts w:ascii="Titillium Web" w:eastAsiaTheme="majorEastAsia" w:hAnsi="Titillium Web" w:cstheme="majorBidi"/>
      <w:color w:val="666666"/>
      <w:spacing w:val="-10"/>
      <w:kern w:val="28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2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2317">
                      <w:marLeft w:val="0"/>
                      <w:marRight w:val="0"/>
                      <w:marTop w:val="450"/>
                      <w:marBottom w:val="10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533912">
                              <w:marLeft w:val="450"/>
                              <w:marRight w:val="45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3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7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2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4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97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08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92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0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75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11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960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baiot.com/amebad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amebaiot.com/amebad/" TargetMode="External"/><Relationship Id="rId12" Type="http://schemas.openxmlformats.org/officeDocument/2006/relationships/hyperlink" Target="http://www.lcdwiki.com/2.2inch_SPI_Module_ILI9341_SKU:MSP2202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amebaiot.com/amebad/" TargetMode="External"/><Relationship Id="rId11" Type="http://schemas.openxmlformats.org/officeDocument/2006/relationships/hyperlink" Target="https://learn.adafruit.com/adafruit-2-8-tft-touch-shield-v2?view=al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amebaiot.com/spi-intro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adafruit.com/products/1651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amebaiot.com/amebad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Qi [朱琪]</dc:creator>
  <cp:keywords/>
  <dc:description/>
  <cp:lastModifiedBy>Zhu Qi [朱琪]</cp:lastModifiedBy>
  <cp:revision>18</cp:revision>
  <dcterms:created xsi:type="dcterms:W3CDTF">2022-07-13T07:36:00Z</dcterms:created>
  <dcterms:modified xsi:type="dcterms:W3CDTF">2022-07-14T02:24:00Z</dcterms:modified>
</cp:coreProperties>
</file>