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4, LECTURE 2</w:t>
      </w:r>
    </w:p>
    <w:p>
      <w:pPr>
        <w:spacing w:after="60"/>
        <w:jc w:val="center"/>
      </w:pPr>
      <w:r>
        <w:rPr>
          <w:b/>
          <w:bCs/>
          <w:sz w:val="32"/>
          <w:szCs w:val="32"/>
        </w:rPr>
        <w:t xml:space="preserve">The Investigator's Toolbox — Quiz Module</w:t>
      </w:r>
    </w:p>
    <w:p>
      <w:pPr>
        <w:spacing w:after="220"/>
        <w:jc w:val="center"/>
      </w:pPr>
      <w:r>
        <w:rPr>
          <w:i/>
          <w:iCs/>
          <w:sz w:val="20"/>
          <w:szCs w:val="20"/>
        </w:rPr>
        <w:t xml:space="preserve">Instructor Answer Key</w:t>
      </w:r>
    </w:p>
    <w:p>
      <w:pPr>
        <w:spacing w:after="200"/>
        <w:jc w:val="center"/>
      </w:pPr>
      <w:r>
        <w:rPr>
          <w:b/>
          <w:bCs/>
          <w:color w:val="B00000"/>
        </w:rPr>
        <w:t xml:space="preserve">UNCLASSIFIED — Instructor use only — do not distribute to students</w:t>
      </w:r>
    </w:p>
    <w:p>
      <w:pPr>
        <w:pStyle w:val="Heading2"/>
        <w:spacing w:after="110" w:before="220"/>
      </w:pPr>
      <w:r>
        <w:t xml:space="preserve">How this maps to the lesson plan</w:t>
      </w:r>
    </w:p>
    <w:p>
      <w:pPr>
        <w:spacing w:after="110"/>
      </w:pPr>
      <w:r>
        <w:t xml:space="preserve">Organized by the three official assessment topics from Section 9: investigative_tooling, tool_selection, and tool_provenance. Items tagged [MUST-PASS] correspond directly to the lesson plan's four flagged must-pass concepts, listed again below for reference.</w:t>
      </w:r>
    </w:p>
    <w:p>
      <w:pPr>
        <w:pStyle w:val="Heading2"/>
        <w:spacing w:after="110" w:before="220"/>
      </w:pPr>
      <w:r>
        <w:t xml:space="preserve">Must-pass concepts (Section 9)</w:t>
      </w:r>
    </w:p>
    <w:p>
      <w:pPr>
        <w:pStyle w:val="ListParagraph"/>
        <w:numPr>
          <w:ilvl w:val="0"/>
          <w:numId w:val="1"/>
        </w:numPr>
        <w:spacing w:after="60"/>
      </w:pPr>
      <w:r>
        <w:t xml:space="preserve">Tool output is a finding; findings become evidence through provenance documentation.</w:t>
      </w:r>
    </w:p>
    <w:p>
      <w:pPr>
        <w:pStyle w:val="ListParagraph"/>
        <w:numPr>
          <w:ilvl w:val="0"/>
          <w:numId w:val="1"/>
        </w:numPr>
        <w:spacing w:after="60"/>
      </w:pPr>
      <w:r>
        <w:t xml:space="preserve">Tool selection is determined by the question, not by tool preference.</w:t>
      </w:r>
    </w:p>
    <w:p>
      <w:pPr>
        <w:pStyle w:val="ListParagraph"/>
        <w:numPr>
          <w:ilvl w:val="0"/>
          <w:numId w:val="1"/>
        </w:numPr>
        <w:spacing w:after="60"/>
      </w:pPr>
      <w:r>
        <w:t xml:space="preserve">AI-assisted tool outputs are leads, not conclusions.</w:t>
      </w:r>
    </w:p>
    <w:p>
      <w:pPr>
        <w:pStyle w:val="ListParagraph"/>
        <w:numPr>
          <w:ilvl w:val="0"/>
          <w:numId w:val="1"/>
        </w:numPr>
        <w:spacing w:after="60"/>
      </w:pPr>
      <w:r>
        <w:t xml:space="preserve">Cross-tool validation is required for consequential findings.</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A student who misses every [MUST-PASS] item has not cleared this lecture's core content, regardless of overall score — flag for follow-up before Friday's capstone, since the lesson plan notes the capstone brief implicitly assesses tool-and-provenance discipline.</w:t>
      </w:r>
    </w:p>
    <w:p>
      <w:pPr>
        <w:pStyle w:val="Heading1"/>
        <w:spacing w:after="140" w:before="280"/>
      </w:pPr>
      <w:r>
        <w:t xml:space="preserve">Topic 1 — Investigative Tooling (Sections 6.2–6.4)</w:t>
      </w:r>
    </w:p>
    <w:p>
      <w:pPr>
        <w:spacing w:after="110"/>
      </w:pPr>
      <w:r>
        <w:rPr>
          <w:b/>
          <w:bCs/>
        </w:rPr>
        <w:t xml:space="preserve">1. What kind of question does OSINT typically answer well?</w:t>
      </w:r>
    </w:p>
    <w:p>
      <w:pPr>
        <w:spacing w:after="40"/>
        <w:ind w:left="360"/>
      </w:pPr>
      <w:r>
        <w:rPr>
          <w:b w:val="false"/>
          <w:bCs w:val="false"/>
          <w:color w:val="000000"/>
        </w:rPr>
        <w:t xml:space="preserve">A. The real-time current state of an IP address</w:t>
      </w:r>
    </w:p>
    <w:p>
      <w:pPr>
        <w:spacing w:after="40"/>
        <w:ind w:left="360"/>
      </w:pPr>
      <w:r>
        <w:rPr>
          <w:b/>
          <w:bCs/>
          <w:color w:val="1E7A34"/>
        </w:rPr>
        <w:t xml:space="preserve">B. Infrastructure, identity, and historical activity drawn from public sources</w:t>
      </w:r>
    </w:p>
    <w:p>
      <w:pPr>
        <w:spacing w:after="40"/>
        <w:ind w:left="360"/>
      </w:pPr>
      <w:r>
        <w:rPr>
          <w:b w:val="false"/>
          <w:bCs w:val="false"/>
          <w:color w:val="000000"/>
        </w:rPr>
        <w:t xml:space="preserve">C. The content of encrypted communications</w:t>
      </w:r>
    </w:p>
    <w:p>
      <w:pPr>
        <w:spacing w:after="40"/>
        <w:ind w:left="360"/>
      </w:pPr>
      <w:r>
        <w:rPr>
          <w:b w:val="false"/>
          <w:bCs w:val="false"/>
          <w:color w:val="000000"/>
        </w:rPr>
        <w:t xml:space="preserve">D. Chain of custody for a finding</w:t>
      </w:r>
    </w:p>
    <w:p>
      <w:pPr>
        <w:spacing w:after="110"/>
      </w:pPr>
      <w:r>
        <w:rPr>
          <w:b/>
          <w:bCs/>
          <w:color w:val="1E7A34"/>
        </w:rPr>
        <w:t xml:space="preserve">Answer: B</w:t>
      </w:r>
    </w:p>
    <w:p>
      <w:pPr>
        <w:spacing w:after="110"/>
      </w:pPr>
      <w:r>
        <w:t xml:space="preserve"/>
      </w:r>
    </w:p>
    <w:p>
      <w:pPr>
        <w:spacing w:after="110"/>
      </w:pPr>
      <w:r>
        <w:rPr>
          <w:b/>
          <w:bCs/>
        </w:rPr>
        <w:t xml:space="preserve">2. Which is an example of a passive DNS / domain-history tooling category?</w:t>
      </w:r>
    </w:p>
    <w:p>
      <w:pPr>
        <w:spacing w:after="40"/>
        <w:ind w:left="360"/>
      </w:pPr>
      <w:r>
        <w:rPr>
          <w:b w:val="false"/>
          <w:bCs w:val="false"/>
          <w:color w:val="000000"/>
        </w:rPr>
        <w:t xml:space="preserve">A. Shodan or Censys</w:t>
      </w:r>
    </w:p>
    <w:p>
      <w:pPr>
        <w:spacing w:after="40"/>
        <w:ind w:left="360"/>
      </w:pPr>
      <w:r>
        <w:rPr>
          <w:b/>
          <w:bCs/>
          <w:color w:val="1E7A34"/>
        </w:rPr>
        <w:t xml:space="preserve">B. DomainTools or PassiveTotal</w:t>
      </w:r>
    </w:p>
    <w:p>
      <w:pPr>
        <w:spacing w:after="40"/>
        <w:ind w:left="360"/>
      </w:pPr>
      <w:r>
        <w:rPr>
          <w:b w:val="false"/>
          <w:bCs w:val="false"/>
          <w:color w:val="000000"/>
        </w:rPr>
        <w:t xml:space="preserve">C. Volatility</w:t>
      </w:r>
    </w:p>
    <w:p>
      <w:pPr>
        <w:spacing w:after="40"/>
        <w:ind w:left="360"/>
      </w:pPr>
      <w:r>
        <w:rPr>
          <w:b w:val="false"/>
          <w:bCs w:val="false"/>
          <w:color w:val="000000"/>
        </w:rPr>
        <w:t xml:space="preserve">D. Wireshark</w:t>
      </w:r>
    </w:p>
    <w:p>
      <w:pPr>
        <w:spacing w:after="110"/>
      </w:pPr>
      <w:r>
        <w:rPr>
          <w:b/>
          <w:bCs/>
          <w:color w:val="1E7A34"/>
        </w:rPr>
        <w:t xml:space="preserve">Answer: B</w:t>
      </w:r>
    </w:p>
    <w:p>
      <w:pPr>
        <w:spacing w:after="110"/>
      </w:pPr>
      <w:r>
        <w:t xml:space="preserve"/>
      </w:r>
    </w:p>
    <w:p>
      <w:pPr>
        <w:spacing w:after="110"/>
      </w:pPr>
      <w:r>
        <w:rPr>
          <w:b/>
          <w:bCs/>
        </w:rPr>
        <w:t xml:space="preserve">3. What is the specific risk of submitting a file from an active case to free-tier VirusTotal?</w:t>
      </w:r>
    </w:p>
    <w:p>
      <w:pPr>
        <w:spacing w:after="40"/>
        <w:ind w:left="360"/>
      </w:pPr>
      <w:r>
        <w:rPr>
          <w:b w:val="false"/>
          <w:bCs w:val="false"/>
          <w:color w:val="000000"/>
        </w:rPr>
        <w:t xml:space="preserve">A. There is no risk — submissions are always private</w:t>
      </w:r>
    </w:p>
    <w:p>
      <w:pPr>
        <w:spacing w:after="40"/>
        <w:ind w:left="360"/>
      </w:pPr>
      <w:r>
        <w:rPr>
          <w:b/>
          <w:bCs/>
          <w:color w:val="1E7A34"/>
        </w:rPr>
        <w:t xml:space="preserve">B. The submission may be publicly searchable, potentially tipping the actor that the case exists</w:t>
      </w:r>
    </w:p>
    <w:p>
      <w:pPr>
        <w:spacing w:after="40"/>
        <w:ind w:left="360"/>
      </w:pPr>
      <w:r>
        <w:rPr>
          <w:b w:val="false"/>
          <w:bCs w:val="false"/>
          <w:color w:val="000000"/>
        </w:rPr>
        <w:t xml:space="preserve">C. It automatically notifies foreign law enforcement partners</w:t>
      </w:r>
    </w:p>
    <w:p>
      <w:pPr>
        <w:spacing w:after="40"/>
        <w:ind w:left="360"/>
      </w:pPr>
      <w:r>
        <w:rPr>
          <w:b w:val="false"/>
          <w:bCs w:val="false"/>
          <w:color w:val="000000"/>
        </w:rPr>
        <w:t xml:space="preserve">D. It violates TLP:WHITE marking rules</w:t>
      </w:r>
    </w:p>
    <w:p>
      <w:pPr>
        <w:spacing w:after="110"/>
      </w:pPr>
      <w:r>
        <w:rPr>
          <w:b/>
          <w:bCs/>
          <w:color w:val="1E7A34"/>
        </w:rPr>
        <w:t xml:space="preserve">Answer: B</w:t>
      </w:r>
    </w:p>
    <w:p>
      <w:pPr>
        <w:spacing w:after="110"/>
      </w:pPr>
      <w:r>
        <w:t xml:space="preserve"/>
      </w:r>
    </w:p>
    <w:p>
      <w:pPr>
        <w:spacing w:after="110"/>
      </w:pPr>
      <w:r>
        <w:rPr>
          <w:b/>
          <w:bCs/>
        </w:rPr>
        <w:t xml:space="preserve">4. A TI vendor's confidence that a hash belongs to a given actor group is their ______ ______, not ground truth.</w:t>
      </w:r>
    </w:p>
    <w:p>
      <w:pPr>
        <w:spacing w:after="110"/>
      </w:pPr>
      <w:r>
        <w:rPr>
          <w:b/>
          <w:bCs/>
          <w:color w:val="1E7A34"/>
        </w:rPr>
        <w:t xml:space="preserve">Answer: analytic judgment</w:t>
      </w:r>
    </w:p>
    <w:p>
      <w:pPr>
        <w:spacing w:after="110"/>
      </w:pPr>
      <w:r>
        <w:t xml:space="preserve"/>
      </w:r>
    </w:p>
    <w:p>
      <w:pPr>
        <w:spacing w:after="110"/>
      </w:pPr>
      <w:r>
        <w:rPr>
          <w:b/>
          <w:bCs/>
        </w:rPr>
        <w:t xml:space="preserve">5. Information marked TLP:______ can generally be shared within your organization on a need-to-know basis, but not shared further without escalating to the originator.</w:t>
      </w:r>
    </w:p>
    <w:p>
      <w:pPr>
        <w:spacing w:after="110"/>
      </w:pPr>
      <w:r>
        <w:rPr>
          <w:b/>
          <w:bCs/>
          <w:color w:val="1E7A34"/>
        </w:rPr>
        <w:t xml:space="preserve">Answer: AMBER</w:t>
      </w:r>
    </w:p>
    <w:p>
      <w:pPr>
        <w:spacing w:after="110"/>
      </w:pPr>
      <w:r>
        <w:t xml:space="preserve"/>
      </w:r>
    </w:p>
    <w:p>
      <w:pPr>
        <w:spacing w:after="110"/>
      </w:pPr>
      <w:r>
        <w:rPr>
          <w:b/>
          <w:bCs/>
        </w:rPr>
        <w:t xml:space="preserve">6. Name the three forensics sub-categories from Section 6.4, and one representative tool for each.</w:t>
      </w:r>
    </w:p>
    <w:p>
      <w:pPr>
        <w:spacing w:after="110"/>
      </w:pPr>
      <w:r>
        <w:rPr>
          <w:b/>
          <w:bCs/>
        </w:rPr>
        <w:t xml:space="preserve">A complete answer must:</w:t>
      </w:r>
    </w:p>
    <w:p>
      <w:pPr>
        <w:pStyle w:val="ListParagraph"/>
        <w:numPr>
          <w:ilvl w:val="0"/>
          <w:numId w:val="1"/>
        </w:numPr>
        <w:spacing w:after="60"/>
      </w:pPr>
      <w:r>
        <w:t xml:space="preserve">Host forensics — e.g., EnCase, FTK, Magnet AXIOM, X-Ways, or Autopsy/Sleuth Kit</w:t>
      </w:r>
    </w:p>
    <w:p>
      <w:pPr>
        <w:pStyle w:val="ListParagraph"/>
        <w:numPr>
          <w:ilvl w:val="0"/>
          <w:numId w:val="1"/>
        </w:numPr>
        <w:spacing w:after="60"/>
      </w:pPr>
      <w:r>
        <w:t xml:space="preserve">Memory forensics — Volatility (the open-source standard)</w:t>
      </w:r>
    </w:p>
    <w:p>
      <w:pPr>
        <w:pStyle w:val="ListParagraph"/>
        <w:numPr>
          <w:ilvl w:val="0"/>
          <w:numId w:val="1"/>
        </w:numPr>
        <w:spacing w:after="60"/>
      </w:pPr>
      <w:r>
        <w:t xml:space="preserve">Network forensics — e.g., Wireshark, Zeek, or Arkime/Moloch</w:t>
      </w:r>
    </w:p>
    <w:p>
      <w:pPr>
        <w:spacing w:after="110"/>
      </w:pPr>
      <w:r>
        <w:rPr>
          <w:b/>
          <w:bCs/>
          <w:color w:val="1E7A34"/>
        </w:rPr>
        <w:t xml:space="preserve">Model answer:</w:t>
      </w:r>
    </w:p>
    <w:p>
      <w:pPr>
        <w:spacing w:after="110"/>
      </w:pPr>
      <w:r>
        <w:rPr>
          <w:i/>
          <w:iCs/>
          <w:color w:val="1E7A34"/>
        </w:rPr>
        <w:t xml:space="preserve">Host forensics (e.g., EnCase, FTK, Autopsy) for disk-based artifacts; memory forensics (Volatility is the open-source standard) for volatile-state analysis; network forensics (e.g., Wireshark, Zeek, Arkime) for traffic and flow analysis.</w:t>
      </w:r>
    </w:p>
    <w:p>
      <w:pPr>
        <w:spacing w:after="110"/>
      </w:pPr>
      <w:r>
        <w:t xml:space="preserve"/>
      </w:r>
    </w:p>
    <w:p>
      <w:pPr>
        <w:pStyle w:val="Heading1"/>
        <w:spacing w:after="140" w:before="280"/>
      </w:pPr>
      <w:r>
        <w:t xml:space="preserve">Topic 2 — Tool Selection Discipline (Section 6.6)</w:t>
      </w:r>
    </w:p>
    <w:p>
      <w:pPr>
        <w:spacing w:after="110"/>
      </w:pPr>
      <w:r>
        <w:rPr>
          <w:b/>
          <w:bCs/>
        </w:rPr>
        <w:t xml:space="preserve">1. What determines the right tool to use for an investigative question?</w:t>
      </w:r>
      <w:r>
        <w:rPr>
          <w:b/>
          <w:bCs/>
          <w:color w:val="B00000"/>
          <w:sz w:val="18"/>
          <w:szCs w:val="18"/>
        </w:rPr>
        <w:t xml:space="preserve">  [MUST-PASS]</w:t>
      </w:r>
    </w:p>
    <w:p>
      <w:pPr>
        <w:spacing w:after="40"/>
        <w:ind w:left="360"/>
      </w:pPr>
      <w:r>
        <w:rPr>
          <w:b w:val="false"/>
          <w:bCs w:val="false"/>
          <w:color w:val="000000"/>
        </w:rPr>
        <w:t xml:space="preserve">A. Personal preference or familiarity with a tool</w:t>
      </w:r>
    </w:p>
    <w:p>
      <w:pPr>
        <w:spacing w:after="40"/>
        <w:ind w:left="360"/>
      </w:pPr>
      <w:r>
        <w:rPr>
          <w:b/>
          <w:bCs/>
          <w:color w:val="1E7A34"/>
        </w:rPr>
        <w:t xml:space="preserve">B. The specific question being asked</w:t>
      </w:r>
    </w:p>
    <w:p>
      <w:pPr>
        <w:spacing w:after="40"/>
        <w:ind w:left="360"/>
      </w:pPr>
      <w:r>
        <w:rPr>
          <w:b w:val="false"/>
          <w:bCs w:val="false"/>
          <w:color w:val="000000"/>
        </w:rPr>
        <w:t xml:space="preserve">C. Whichever tool is cheapest</w:t>
      </w:r>
    </w:p>
    <w:p>
      <w:pPr>
        <w:spacing w:after="40"/>
        <w:ind w:left="360"/>
      </w:pPr>
      <w:r>
        <w:rPr>
          <w:b w:val="false"/>
          <w:bCs w:val="false"/>
          <w:color w:val="000000"/>
        </w:rPr>
        <w:t xml:space="preserve">D. Whichever tool is newest</w:t>
      </w:r>
    </w:p>
    <w:p>
      <w:pPr>
        <w:spacing w:after="110"/>
      </w:pPr>
      <w:r>
        <w:rPr>
          <w:b/>
          <w:bCs/>
          <w:color w:val="1E7A34"/>
        </w:rPr>
        <w:t xml:space="preserve">Answer: B</w:t>
      </w:r>
    </w:p>
    <w:p>
      <w:pPr>
        <w:spacing w:after="110"/>
      </w:pPr>
      <w:r>
        <w:t xml:space="preserve"/>
      </w:r>
    </w:p>
    <w:p>
      <w:pPr>
        <w:spacing w:after="110"/>
      </w:pPr>
      <w:r>
        <w:rPr>
          <w:b/>
          <w:bCs/>
        </w:rPr>
        <w:t xml:space="preserve">2. In the lecture's worked example, which tool category would you use to find what infrastructure an actor has used over time?</w:t>
      </w:r>
    </w:p>
    <w:p>
      <w:pPr>
        <w:spacing w:after="40"/>
        <w:ind w:left="360"/>
      </w:pPr>
      <w:r>
        <w:rPr>
          <w:b w:val="false"/>
          <w:bCs w:val="false"/>
          <w:color w:val="000000"/>
        </w:rPr>
        <w:t xml:space="preserve">A. Host forensics on the compromised system</w:t>
      </w:r>
    </w:p>
    <w:p>
      <w:pPr>
        <w:spacing w:after="40"/>
        <w:ind w:left="360"/>
      </w:pPr>
      <w:r>
        <w:rPr>
          <w:b/>
          <w:bCs/>
          <w:color w:val="1E7A34"/>
        </w:rPr>
        <w:t xml:space="preserve">B. Passive DNS, internet-wide scanning data, and registrant correlation</w:t>
      </w:r>
    </w:p>
    <w:p>
      <w:pPr>
        <w:spacing w:after="40"/>
        <w:ind w:left="360"/>
      </w:pPr>
      <w:r>
        <w:rPr>
          <w:b w:val="false"/>
          <w:bCs w:val="false"/>
          <w:color w:val="000000"/>
        </w:rPr>
        <w:t xml:space="preserve">C. Sample analysis services</w:t>
      </w:r>
    </w:p>
    <w:p>
      <w:pPr>
        <w:spacing w:after="40"/>
        <w:ind w:left="360"/>
      </w:pPr>
      <w:r>
        <w:rPr>
          <w:b w:val="false"/>
          <w:bCs w:val="false"/>
          <w:color w:val="000000"/>
        </w:rPr>
        <w:t xml:space="preserve">D. ATT&amp;CK Navigator alone</w:t>
      </w:r>
    </w:p>
    <w:p>
      <w:pPr>
        <w:spacing w:after="110"/>
      </w:pPr>
      <w:r>
        <w:rPr>
          <w:b/>
          <w:bCs/>
          <w:color w:val="1E7A34"/>
        </w:rPr>
        <w:t xml:space="preserve">Answer: B</w:t>
      </w:r>
    </w:p>
    <w:p>
      <w:pPr>
        <w:spacing w:after="110"/>
      </w:pPr>
      <w:r>
        <w:t xml:space="preserve"/>
      </w:r>
    </w:p>
    <w:p>
      <w:pPr>
        <w:spacing w:after="110"/>
      </w:pPr>
      <w:r>
        <w:rPr>
          <w:b/>
          <w:bCs/>
        </w:rPr>
        <w:t xml:space="preserve">3. When should a consequential decision (charging, public attribution, defensive notification) rest on a tool-derived finding?</w:t>
      </w:r>
      <w:r>
        <w:rPr>
          <w:b/>
          <w:bCs/>
          <w:color w:val="B00000"/>
          <w:sz w:val="18"/>
          <w:szCs w:val="18"/>
        </w:rPr>
        <w:t xml:space="preserve">  [MUST-PASS]</w:t>
      </w:r>
    </w:p>
    <w:p>
      <w:pPr>
        <w:spacing w:after="40"/>
        <w:ind w:left="360"/>
      </w:pPr>
      <w:r>
        <w:rPr>
          <w:b w:val="false"/>
          <w:bCs w:val="false"/>
          <w:color w:val="000000"/>
        </w:rPr>
        <w:t xml:space="preserve">A. As soon as any single tool reports it</w:t>
      </w:r>
    </w:p>
    <w:p>
      <w:pPr>
        <w:spacing w:after="40"/>
        <w:ind w:left="360"/>
      </w:pPr>
      <w:r>
        <w:rPr>
          <w:b/>
          <w:bCs/>
          <w:color w:val="1E7A34"/>
        </w:rPr>
        <w:t xml:space="preserve">B. Only after cross-tool validation</w:t>
      </w:r>
    </w:p>
    <w:p>
      <w:pPr>
        <w:spacing w:after="40"/>
        <w:ind w:left="360"/>
      </w:pPr>
      <w:r>
        <w:rPr>
          <w:b w:val="false"/>
          <w:bCs w:val="false"/>
          <w:color w:val="000000"/>
        </w:rPr>
        <w:t xml:space="preserve">C. Never — tool output shouldn't inform such decisions</w:t>
      </w:r>
    </w:p>
    <w:p>
      <w:pPr>
        <w:spacing w:after="40"/>
        <w:ind w:left="360"/>
      </w:pPr>
      <w:r>
        <w:rPr>
          <w:b w:val="false"/>
          <w:bCs w:val="false"/>
          <w:color w:val="000000"/>
        </w:rPr>
        <w:t xml:space="preserve">D. Only if the tool uses AI</w:t>
      </w:r>
    </w:p>
    <w:p>
      <w:pPr>
        <w:spacing w:after="110"/>
      </w:pPr>
      <w:r>
        <w:rPr>
          <w:b/>
          <w:bCs/>
          <w:color w:val="1E7A34"/>
        </w:rPr>
        <w:t xml:space="preserve">Answer: B</w:t>
      </w:r>
    </w:p>
    <w:p>
      <w:pPr>
        <w:spacing w:after="110"/>
      </w:pPr>
      <w:r>
        <w:t xml:space="preserve"/>
      </w:r>
    </w:p>
    <w:p>
      <w:pPr>
        <w:spacing w:after="110"/>
      </w:pPr>
      <w:r>
        <w:rPr>
          <w:b/>
          <w:bCs/>
        </w:rPr>
        <w:t xml:space="preserve">4. A cross-tool ______ finding requires figuring out which tool is right and why, before relying on it.</w:t>
      </w:r>
    </w:p>
    <w:p>
      <w:pPr>
        <w:spacing w:after="110"/>
      </w:pPr>
      <w:r>
        <w:rPr>
          <w:b/>
          <w:bCs/>
          <w:color w:val="1E7A34"/>
        </w:rPr>
        <w:t xml:space="preserve">Answer: inconsistent</w:t>
      </w:r>
    </w:p>
    <w:p>
      <w:pPr>
        <w:spacing w:after="110"/>
      </w:pPr>
      <w:r>
        <w:t xml:space="preserve"/>
      </w:r>
    </w:p>
    <w:p>
      <w:pPr>
        <w:spacing w:after="110"/>
      </w:pPr>
      <w:r>
        <w:rPr>
          <w:b/>
          <w:bCs/>
        </w:rPr>
        <w:t xml:space="preserve">5. In the worked example, what tool category would you use to find what known actor groups share TTPs with the actor in question — and why that category specifically, not a different one?</w:t>
      </w:r>
    </w:p>
    <w:p>
      <w:pPr>
        <w:spacing w:after="110"/>
      </w:pPr>
      <w:r>
        <w:rPr>
          <w:b/>
          <w:bCs/>
        </w:rPr>
        <w:t xml:space="preserve">A complete answer must:</w:t>
      </w:r>
    </w:p>
    <w:p>
      <w:pPr>
        <w:pStyle w:val="ListParagraph"/>
        <w:numPr>
          <w:ilvl w:val="0"/>
          <w:numId w:val="1"/>
        </w:numPr>
        <w:spacing w:after="60"/>
      </w:pPr>
      <w:r>
        <w:t xml:space="preserve">Names commercial TIPs, ATT&amp;CK Navigator, and/or public TI feeds</w:t>
      </w:r>
    </w:p>
    <w:p>
      <w:pPr>
        <w:pStyle w:val="ListParagraph"/>
        <w:numPr>
          <w:ilvl w:val="0"/>
          <w:numId w:val="1"/>
        </w:numPr>
        <w:spacing w:after="60"/>
      </w:pPr>
      <w:r>
        <w:t xml:space="preserve">Explains why: this question is specifically about known-actor/TTP correlation, which is exactly what TI platforms and ATT&amp;CK tooling are built to answer — not, for example, a host-forensics or passive-DNS question</w:t>
      </w:r>
    </w:p>
    <w:p>
      <w:pPr>
        <w:spacing w:after="110"/>
      </w:pPr>
      <w:r>
        <w:rPr>
          <w:b/>
          <w:bCs/>
          <w:color w:val="1E7A34"/>
        </w:rPr>
        <w:t xml:space="preserve">Model answer:</w:t>
      </w:r>
    </w:p>
    <w:p>
      <w:pPr>
        <w:spacing w:after="110"/>
      </w:pPr>
      <w:r>
        <w:rPr>
          <w:i/>
          <w:iCs/>
          <w:color w:val="1E7A34"/>
        </w:rPr>
        <w:t xml:space="preserve">Commercial threat intelligence platforms, MITRE ATT&amp;CK Navigator, and public TI feeds — because the question is specifically about correlating observed behavior with known actor groups and tradecraft, which is exactly what this tool category aggregates. Passive DNS or host forensics would answer a different question (infrastructure history, or what happened on a specific compromised system), not this one.</w:t>
      </w:r>
    </w:p>
    <w:p>
      <w:pPr>
        <w:spacing w:after="110"/>
      </w:pPr>
      <w:r>
        <w:t xml:space="preserve"/>
      </w:r>
    </w:p>
    <w:p>
      <w:pPr>
        <w:pStyle w:val="Heading1"/>
        <w:spacing w:after="140" w:before="280"/>
      </w:pPr>
      <w:r>
        <w:t xml:space="preserve">Topic 3 — Provenance Discipline (Section 6.7)</w:t>
      </w:r>
    </w:p>
    <w:p>
      <w:pPr>
        <w:spacing w:after="110"/>
      </w:pPr>
      <w:r>
        <w:rPr>
          <w:b/>
          <w:bCs/>
        </w:rPr>
        <w:t xml:space="preserve">1. Per this lecture, when does tool output become evidence?</w:t>
      </w:r>
      <w:r>
        <w:rPr>
          <w:b/>
          <w:bCs/>
          <w:color w:val="B00000"/>
          <w:sz w:val="18"/>
          <w:szCs w:val="18"/>
        </w:rPr>
        <w:t xml:space="preserve">  [MUST-PASS]</w:t>
      </w:r>
    </w:p>
    <w:p>
      <w:pPr>
        <w:spacing w:after="40"/>
        <w:ind w:left="360"/>
      </w:pPr>
      <w:r>
        <w:rPr>
          <w:b w:val="false"/>
          <w:bCs w:val="false"/>
          <w:color w:val="000000"/>
        </w:rPr>
        <w:t xml:space="preserve">A. The moment the tool produces it</w:t>
      </w:r>
    </w:p>
    <w:p>
      <w:pPr>
        <w:spacing w:after="40"/>
        <w:ind w:left="360"/>
      </w:pPr>
      <w:r>
        <w:rPr>
          <w:b/>
          <w:bCs/>
          <w:color w:val="1E7A34"/>
        </w:rPr>
        <w:t xml:space="preserve">B. When its provenance is documented well enough to support evidentiary use</w:t>
      </w:r>
    </w:p>
    <w:p>
      <w:pPr>
        <w:spacing w:after="40"/>
        <w:ind w:left="360"/>
      </w:pPr>
      <w:r>
        <w:rPr>
          <w:b w:val="false"/>
          <w:bCs w:val="false"/>
          <w:color w:val="000000"/>
        </w:rPr>
        <w:t xml:space="preserve">C. Only after a supervisor verbally approves it</w:t>
      </w:r>
    </w:p>
    <w:p>
      <w:pPr>
        <w:spacing w:after="40"/>
        <w:ind w:left="360"/>
      </w:pPr>
      <w:r>
        <w:rPr>
          <w:b w:val="false"/>
          <w:bCs w:val="false"/>
          <w:color w:val="000000"/>
        </w:rPr>
        <w:t xml:space="preserve">D. Tool output is never usable as evidence</w:t>
      </w:r>
    </w:p>
    <w:p>
      <w:pPr>
        <w:spacing w:after="110"/>
      </w:pPr>
      <w:r>
        <w:rPr>
          <w:b/>
          <w:bCs/>
          <w:color w:val="1E7A34"/>
        </w:rPr>
        <w:t xml:space="preserve">Answer: B</w:t>
      </w:r>
    </w:p>
    <w:p>
      <w:pPr>
        <w:spacing w:after="110"/>
      </w:pPr>
      <w:r>
        <w:t xml:space="preserve"/>
      </w:r>
    </w:p>
    <w:p>
      <w:pPr>
        <w:spacing w:after="110"/>
      </w:pPr>
      <w:r>
        <w:rPr>
          <w:b/>
          <w:bCs/>
        </w:rPr>
        <w:t xml:space="preserve">2. The provenance checklist includes tool name and version, the query/command/input, date and time, output captured in a documented format, a hash of the output, and documentation of how the output was ______.</w:t>
      </w:r>
    </w:p>
    <w:p>
      <w:pPr>
        <w:spacing w:after="110"/>
      </w:pPr>
      <w:r>
        <w:rPr>
          <w:b/>
          <w:bCs/>
          <w:color w:val="1E7A34"/>
        </w:rPr>
        <w:t xml:space="preserve">Answer: preserved</w:t>
      </w:r>
    </w:p>
    <w:p>
      <w:pPr>
        <w:spacing w:after="110"/>
      </w:pPr>
      <w:r>
        <w:t xml:space="preserve"/>
      </w:r>
    </w:p>
    <w:p>
      <w:pPr>
        <w:spacing w:after="110"/>
      </w:pPr>
      <w:r>
        <w:rPr>
          <w:b/>
          <w:bCs/>
        </w:rPr>
        <w:t xml:space="preserve">3. What is the correct characterization of AI-assisted tool output, per this lecture?</w:t>
      </w:r>
      <w:r>
        <w:rPr>
          <w:b/>
          <w:bCs/>
          <w:color w:val="B00000"/>
          <w:sz w:val="18"/>
          <w:szCs w:val="18"/>
        </w:rPr>
        <w:t xml:space="preserve">  [MUST-PASS]</w:t>
      </w:r>
    </w:p>
    <w:p>
      <w:pPr>
        <w:spacing w:after="40"/>
        <w:ind w:left="360"/>
      </w:pPr>
      <w:r>
        <w:rPr>
          <w:b w:val="false"/>
          <w:bCs w:val="false"/>
          <w:color w:val="000000"/>
        </w:rPr>
        <w:t xml:space="preserve">A. A conclusion ready to brief as-is</w:t>
      </w:r>
    </w:p>
    <w:p>
      <w:pPr>
        <w:spacing w:after="40"/>
        <w:ind w:left="360"/>
      </w:pPr>
      <w:r>
        <w:rPr>
          <w:b/>
          <w:bCs/>
          <w:color w:val="1E7A34"/>
        </w:rPr>
        <w:t xml:space="preserve">B. A lead, requiring human analytic judgment before it's used</w:t>
      </w:r>
    </w:p>
    <w:p>
      <w:pPr>
        <w:spacing w:after="40"/>
        <w:ind w:left="360"/>
      </w:pPr>
      <w:r>
        <w:rPr>
          <w:b w:val="false"/>
          <w:bCs w:val="false"/>
          <w:color w:val="000000"/>
        </w:rPr>
        <w:t xml:space="preserve">C. Inadmissible under all circumstances</w:t>
      </w:r>
    </w:p>
    <w:p>
      <w:pPr>
        <w:spacing w:after="40"/>
        <w:ind w:left="360"/>
      </w:pPr>
      <w:r>
        <w:rPr>
          <w:b w:val="false"/>
          <w:bCs w:val="false"/>
          <w:color w:val="000000"/>
        </w:rPr>
        <w:t xml:space="preserve">D. Equivalent to a certified forensic finding</w:t>
      </w:r>
    </w:p>
    <w:p>
      <w:pPr>
        <w:spacing w:after="110"/>
      </w:pPr>
      <w:r>
        <w:rPr>
          <w:b/>
          <w:bCs/>
          <w:color w:val="1E7A34"/>
        </w:rPr>
        <w:t xml:space="preserve">Answer: B</w:t>
      </w:r>
    </w:p>
    <w:p>
      <w:pPr>
        <w:spacing w:after="110"/>
      </w:pPr>
      <w:r>
        <w:t xml:space="preserve"/>
      </w:r>
    </w:p>
    <w:p>
      <w:pPr>
        <w:spacing w:after="110"/>
      </w:pPr>
      <w:r>
        <w:rPr>
          <w:b/>
          <w:bCs/>
        </w:rPr>
        <w:t xml:space="preserve">4. What should you capture instead of a screenshot of tool output, for provenance purposes?</w:t>
      </w:r>
    </w:p>
    <w:p>
      <w:pPr>
        <w:spacing w:after="40"/>
        <w:ind w:left="360"/>
      </w:pPr>
      <w:r>
        <w:rPr>
          <w:b w:val="false"/>
          <w:bCs w:val="false"/>
          <w:color w:val="000000"/>
        </w:rPr>
        <w:t xml:space="preserve">A. Nothing else is needed beyond a screenshot</w:t>
      </w:r>
    </w:p>
    <w:p>
      <w:pPr>
        <w:spacing w:after="40"/>
        <w:ind w:left="360"/>
      </w:pPr>
      <w:r>
        <w:rPr>
          <w:b/>
          <w:bCs/>
          <w:color w:val="1E7A34"/>
        </w:rPr>
        <w:t xml:space="preserve">B. An export from the tool, or a forensically sound capture of the output</w:t>
      </w:r>
    </w:p>
    <w:p>
      <w:pPr>
        <w:spacing w:after="40"/>
        <w:ind w:left="360"/>
      </w:pPr>
      <w:r>
        <w:rPr>
          <w:b w:val="false"/>
          <w:bCs w:val="false"/>
          <w:color w:val="000000"/>
        </w:rPr>
        <w:t xml:space="preserve">C. A verbal description in your notes</w:t>
      </w:r>
    </w:p>
    <w:p>
      <w:pPr>
        <w:spacing w:after="40"/>
        <w:ind w:left="360"/>
      </w:pPr>
      <w:r>
        <w:rPr>
          <w:b w:val="false"/>
          <w:bCs w:val="false"/>
          <w:color w:val="000000"/>
        </w:rPr>
        <w:t xml:space="preserve">D. A phone photo of the screen</w:t>
      </w:r>
    </w:p>
    <w:p>
      <w:pPr>
        <w:spacing w:after="110"/>
      </w:pPr>
      <w:r>
        <w:rPr>
          <w:b/>
          <w:bCs/>
          <w:color w:val="1E7A34"/>
        </w:rPr>
        <w:t xml:space="preserve">Answer: B</w:t>
      </w:r>
    </w:p>
    <w:p>
      <w:pPr>
        <w:spacing w:after="110"/>
      </w:pPr>
      <w:r>
        <w:t xml:space="preserve"/>
      </w:r>
    </w:p>
    <w:p>
      <w:pPr>
        <w:spacing w:after="110"/>
      </w:pPr>
      <w:r>
        <w:rPr>
          <w:b/>
          <w:bCs/>
        </w:rPr>
        <w:t xml:space="preserve">5. For AI-assisted tools specifically, provenance should also include the model, the version, and the ______ used to generate the output.</w:t>
      </w:r>
    </w:p>
    <w:p>
      <w:pPr>
        <w:spacing w:after="110"/>
      </w:pPr>
      <w:r>
        <w:rPr>
          <w:b/>
          <w:bCs/>
          <w:color w:val="1E7A34"/>
        </w:rPr>
        <w:t xml:space="preserve">Answer: prompt</w:t>
      </w:r>
    </w:p>
    <w:p>
      <w:pPr>
        <w:spacing w:after="110"/>
      </w:pPr>
      <w:r>
        <w:t xml:space="preserve"/>
      </w:r>
    </w:p>
    <w:p>
      <w:pPr>
        <w:spacing w:after="110"/>
      </w:pPr>
      <w:r>
        <w:rPr>
          <w:b/>
          <w:bCs/>
        </w:rPr>
        <w:t xml:space="preserve">6. At trial, what will opposing counsel ask about a tool-derived finding (name at least three specific questions from Slide 20), and why does provenance documentation answer them?</w:t>
      </w:r>
    </w:p>
    <w:p>
      <w:pPr>
        <w:spacing w:after="110"/>
      </w:pPr>
      <w:r>
        <w:rPr>
          <w:b/>
          <w:bCs/>
        </w:rPr>
        <w:t xml:space="preserve">A complete answer must:</w:t>
      </w:r>
    </w:p>
    <w:p>
      <w:pPr>
        <w:pStyle w:val="ListParagraph"/>
        <w:numPr>
          <w:ilvl w:val="0"/>
          <w:numId w:val="1"/>
        </w:numPr>
        <w:spacing w:after="60"/>
      </w:pPr>
      <w:r>
        <w:t xml:space="preserve">Names at least three of: which tool, what version, what query, when it was run, how the output was preserved</w:t>
      </w:r>
    </w:p>
    <w:p>
      <w:pPr>
        <w:pStyle w:val="ListParagraph"/>
        <w:numPr>
          <w:ilvl w:val="0"/>
          <w:numId w:val="1"/>
        </w:numPr>
        <w:spacing w:after="60"/>
      </w:pPr>
      <w:r>
        <w:t xml:space="preserve">Explains that documenting these up front means the finding stands cleanly under cross-examination; without them, the finding is weakened</w:t>
      </w:r>
    </w:p>
    <w:p>
      <w:pPr>
        <w:spacing w:after="110"/>
      </w:pPr>
      <w:r>
        <w:rPr>
          <w:b/>
          <w:bCs/>
          <w:color w:val="1E7A34"/>
        </w:rPr>
        <w:t xml:space="preserve">Model answer:</w:t>
      </w:r>
    </w:p>
    <w:p>
      <w:pPr>
        <w:spacing w:after="110"/>
      </w:pPr>
      <w:r>
        <w:rPr>
          <w:i/>
          <w:iCs/>
          <w:color w:val="1E7A34"/>
        </w:rPr>
        <w:t xml:space="preserve">Which tool produced this? What version? What was the exact query or input? When was it run? How was the output preserved? Provenance documentation answers all of these before the question is ever asked — a finding with clean provenance stands at trial; one without it is weakened, the same way undocumented physical evidence would be.</w:t>
      </w:r>
    </w:p>
    <w:p>
      <w:pPr>
        <w:spacing w:after="11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Quiz Module — Answer Key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2026-09-25T14:28:31.515Z</dcterms:created>
  <dcterms:modified xsi:type="dcterms:W3CDTF">2026-09-25T14:28:31.515Z</dcterms:modified>
</cp:coreProperties>
</file>

<file path=docProps/custom.xml><?xml version="1.0" encoding="utf-8"?>
<Properties xmlns="http://schemas.openxmlformats.org/officeDocument/2006/custom-properties" xmlns:vt="http://schemas.openxmlformats.org/officeDocument/2006/docPropsVTypes"/>
</file>