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Dogwood Hotel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and decide whether it changes your squad's posture toward RestonIT's signed agreement.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Alex M. Reston is RestonIT's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Dogwood already has the strongest RestonIT document of all four victims — what is 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An AP ledger line item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signed managed-services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phishing test result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wire confirmation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Does the SOS record change the significance of that signed agreement?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No, it's unrelated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Yes — it now attaches a named principal to the entity Dogwood contracted with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it invalidates the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has no bearing at all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spacing w:after="100"/>
      </w:pPr>
      <w:r>
        <w:rPr>
          <w:b/>
          <w:bCs/>
          <w:color w:val="1E7A34"/>
        </w:rPr>
        <w:t xml:space="preserve">Answer: Alex M. Reston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Dogwood's signed agreement was executed in ______.</w:t>
      </w:r>
    </w:p>
    <w:p>
      <w:pPr>
        <w:spacing w:after="100"/>
      </w:pPr>
      <w:r>
        <w:rPr>
          <w:b/>
          <w:bCs/>
          <w:color w:val="1E7A34"/>
        </w:rPr>
        <w:t xml:space="preserve">Answer: 2024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Why does Dogwood's signed services agreement matter more now than it did Monday?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It now ties a specific, named individual — not just an anonymous LLC — to the vendor with plausible email/admin access, worth flagging given three other victims also show RestonIT.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two lookalike-domain returns (email provider and registrar).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the lookalike domain email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April 1, 2026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May 1, 2026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May 20, 2026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May 9, 2026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IP is tied to the account's creation and logins?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203.0.113.61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198.51.100.23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203.0.113.148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192.0.2.190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was the lookalike domain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Credit card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BTC from the same wallet used for the VeilStream VPN subscription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Cash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lookalike domain is ______.</w:t>
      </w:r>
    </w:p>
    <w:p>
      <w:pPr>
        <w:spacing w:after="100"/>
      </w:pPr>
      <w:r>
        <w:rPr>
          <w:b/>
          <w:bCs/>
          <w:color w:val="1E7A34"/>
        </w:rPr>
        <w:t xml:space="preserve">Answer: magnolia-linensupply.example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It was registered ______ before the malicious forwarding rule was created.</w:t>
      </w:r>
    </w:p>
    <w:p>
      <w:pPr>
        <w:spacing w:after="100"/>
      </w:pPr>
      <w:r>
        <w:rPr>
          <w:b/>
          <w:bCs/>
          <w:color w:val="1E7A34"/>
        </w:rPr>
        <w:t xml:space="preserve">Answer: about a week (8 days)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does the shared wallet between this domain's registration and Pixel Play squad's VeilStream return suggest — and why can't you confirm it alone?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Suggests the same financially-connected actor or operation behind both threads, but confirming it requires comparing wallet IDs with the Pixel Play/Redstone Memorial squads at the sync.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Dogwood tenant admin audit for the svc_mailmgmt account.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svc_mailmgmt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2025-09-18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2025-10-15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2026-05-09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in UPN format?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RMH\rmm_admin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rmm_admin@dogwoodhotel.example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arcade_support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svc_backup_rst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did this account do on May 9?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Created the malicious forwarding rule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Was deleted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Was renamed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dormancy gap for this account, creation to malicious use, is approximately ______ months.</w:t>
      </w:r>
    </w:p>
    <w:p>
      <w:pPr>
        <w:spacing w:after="100"/>
      </w:pPr>
      <w:r>
        <w:rPr>
          <w:b/>
          <w:bCs/>
          <w:color w:val="1E7A34"/>
        </w:rPr>
        <w:t xml:space="preserve">Answer: 5.9 (about 6)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account holds ______-equivalent privileges.</w:t>
      </w:r>
    </w:p>
    <w:p>
      <w:pPr>
        <w:spacing w:after="100"/>
      </w:pPr>
      <w:r>
        <w:rPr>
          <w:b/>
          <w:bCs/>
          <w:color w:val="1E7A34"/>
        </w:rPr>
        <w:t xml:space="preserve">Answer: global-admin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Explain, technically, why this account's creation format (“rmm_admin@dogwoodhotel.example”) still represents the same underlying identity as “rmm_admin” elsewhere.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The UPN format is just a different way of recording the same creating principal — an entity-resolution exercise, not a different actor.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Review the Ozark Valley Bank return for the fraud's beneficiary account.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identity was used to open the beneficiary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Alex M. Reston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“Raymond T. Colson,” a synthetic/stolen identity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happened to the account after the fraud was identified?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Remains active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Closed and fraud-flagged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Seized by the FBI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Transferred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discrepancy was noted in the KYC identity?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Address mismatch only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DOB/SSN mismatch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Name misspelling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discrepancy found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beneficiary account number is ______, opened remotely in ______ 2026.</w:t>
      </w:r>
    </w:p>
    <w:p>
      <w:pPr>
        <w:spacing w:after="100"/>
      </w:pPr>
      <w:r>
        <w:rPr>
          <w:b/>
          <w:bCs/>
          <w:color w:val="1E7A34"/>
        </w:rPr>
        <w:t xml:space="preserve">Answer: 4471820963; April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Funds were rapidly disbursed via ACH transfers, cash withdrawals, and one outbound transfer to a ______.</w:t>
      </w:r>
    </w:p>
    <w:p>
      <w:pPr>
        <w:spacing w:after="100"/>
      </w:pPr>
      <w:r>
        <w:rPr>
          <w:b/>
          <w:bCs/>
          <w:color w:val="1E7A34"/>
        </w:rPr>
        <w:t xml:space="preserve">Answer: cryptocurrency exchange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Trace the fund path described in this return, from incoming wire to final disposition.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Two incoming wires ($48,200, $61,750) → rapid ACH transfers to two other accounts, cash withdrawals, and one outbound transfer to a crypto exchange — a separate, later leg from the wallet-based correlation.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Dogwood.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How many Day 2 returns did Dogwood's squad receive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Two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Four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shared element should you flag for the cross-squad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wallet paying for the lookalike domain, to compare against other squads' wallet findings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GM's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phishing test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administrative status should today's four returns be logged as?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Pending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Answered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Denied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applicable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Update your tracker: today's four Dogwood-specific returns are now ______.</w:t>
      </w:r>
    </w:p>
    <w:p>
      <w:pPr>
        <w:spacing w:after="100"/>
      </w:pPr>
      <w:r>
        <w:rPr>
          <w:b/>
          <w:bCs/>
          <w:color w:val="1E7A34"/>
        </w:rPr>
        <w:t xml:space="preserve">Answer: answered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wallet common to your lookalike-domain return should be compared at the ______.</w:t>
      </w:r>
    </w:p>
    <w:p>
      <w:pPr>
        <w:spacing w:after="100"/>
      </w:pPr>
      <w:r>
        <w:rPr>
          <w:b/>
          <w:bCs/>
          <w:color w:val="1E7A34"/>
        </w:rPr>
        <w:t xml:space="preserve">Answer: cross-squad sync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Dogwood's thread.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mention the lookalike domain and its wallet, the tenant-admin account and its dormancy/UPN format, the Ozark Valley synthetic identity, and the RestonIT services agreement/SOS record.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tied to the synthetic identity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synthetic identity did the beneficiary account use?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real Dogwood employee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“Raymond T. Colson”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Alex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Should you expect legitimate local records for this synthetic identity?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definitely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Likely not — synthetic identities often don't check out against real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it's a common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after Thursday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four Dogwood returns be logged for custody?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bank return needs logging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until Friday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A local-records check on “Raymond T. Colson” with no legitimate hits should still be logged as a ______ result.</w:t>
      </w:r>
    </w:p>
    <w:p>
      <w:pPr>
        <w:spacing w:after="100"/>
      </w:pPr>
      <w:r>
        <w:rPr>
          <w:b/>
          <w:bCs/>
          <w:color w:val="1E7A34"/>
        </w:rPr>
        <w:t xml:space="preserve">Answer: negative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beneficiary account was ______ once the fraud was identified.</w:t>
      </w:r>
    </w:p>
    <w:p>
      <w:pPr>
        <w:spacing w:after="100"/>
      </w:pPr>
      <w:r>
        <w:rPr>
          <w:b/>
          <w:bCs/>
          <w:color w:val="1E7A34"/>
        </w:rPr>
        <w:t xml:space="preserve">Answer: closed and fraud-flagged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report at the cross-squad sync about the beneficiary-account identity check?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note the identity appears synthetic/stolen (DOB/SSN mismatch), with no expectation of a legitimate local-records match — relevant context for the group's financial picture.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review the tenant-admin audit's automation signature.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log entries show the exact moment the forwarding rule was created and by what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GM's memo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tenant admin audit log (New-InboxRule event)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wire confirmation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phishing test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protocol/client is logged for the account's mailbox login right after creating the rule?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OWA/Chrome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IMAP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POP3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SMTP relay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pairing an automated account action (rule creation) with a specific IP address let you do, technically?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useful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Tie a specific network origin to a specific automated mailbox action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Prove who physically typed the command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Decrypt the account's password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forwarding rule was created at ______ on May 9, 2026.</w:t>
      </w:r>
    </w:p>
    <w:p>
      <w:pPr>
        <w:spacing w:after="100"/>
      </w:pPr>
      <w:r>
        <w:rPr>
          <w:b/>
          <w:bCs/>
          <w:color w:val="1E7A34"/>
        </w:rPr>
        <w:t xml:space="preserve">Answer: 03:41:17 UTC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mailbox login immediately after, using IMAP, came from IP ______.</w:t>
      </w:r>
    </w:p>
    <w:p>
      <w:pPr>
        <w:spacing w:after="100"/>
      </w:pPr>
      <w:r>
        <w:rPr>
          <w:b/>
          <w:bCs/>
          <w:color w:val="1E7A34"/>
        </w:rPr>
        <w:t xml:space="preserve">Answer: 203.0.113.148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want to technically compare between this account's activity and CyberDyne's appliance evidence, once it's available?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Looking for a consistent tool/agent signature that would show the same actor or tool touched both — anticipates Wednesday's RMM-Agent/4.7 signature match.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Dogwood Hotel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identity was used for the fraud's beneficiary bank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Alex M. Reston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synthetic identity, “Raymond T. Colson”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Ted Whitlock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 LLC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wallet paid for the lookalike domain's registration?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w1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credit card, no wallet involved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tenant-admin account svc_mailmgmt's UPN-format name represent?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different actor from rmm_admin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same rmm_admin principal, different naming format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An unrelated IT 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customer account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is the strongest RestonIT-tie document your squad already holds?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AP ledger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signed managed-services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phishing test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wire confirmations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confirmed as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financially-connected BEC scheme using a dormant provisioned account, a lookalike domain, and a synthetic-identity bank account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 is a confirmed suspect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2026-09-17T16:19:16.381Z</dcterms:created>
  <dcterms:modified xsi:type="dcterms:W3CDTF">2026-09-17T16:19:16.381Z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