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B6178"/>
          <w:sz w:val="20"/>
          <w:szCs w:val="20"/>
        </w:rPr>
        <w:t xml:space="preserve">PACT — PRACTICAL APPLICATIONS TO CYBER THREATS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Day 2 (Tuesday) — Squad Dogwood Hotel</w:t>
      </w:r>
    </w:p>
    <w:p>
      <w:pPr>
        <w:spacing w:after="220"/>
        <w:jc w:val="center"/>
      </w:pPr>
      <w:r>
        <w:rPr>
          <w:i/>
          <w:iCs/>
          <w:sz w:val="22"/>
          <w:szCs w:val="22"/>
        </w:rPr>
        <w:t xml:space="preserve">"The Pattern"</w:t>
      </w:r>
    </w:p>
    <w:p>
      <w:pPr>
        <w:spacing w:after="160"/>
        <w:jc w:val="center"/>
      </w:pPr>
      <w:r>
        <w:rPr>
          <w:b/>
          <w:bCs/>
          <w:color w:val="B00000"/>
        </w:rPr>
        <w:t xml:space="preserve">Squad Dogwood Hotel — individual role work on your victim's evidence only</w:t>
      </w:r>
    </w:p>
    <w:p>
      <w:pPr>
        <w:pStyle w:val="Heading1"/>
        <w:pageBreakBefore/>
        <w:spacing w:after="140" w:before="300"/>
      </w:pPr>
      <w:r>
        <w:t xml:space="preserve">SA — Special Agent</w:t>
      </w:r>
    </w:p>
    <w:p>
      <w:pPr>
        <w:spacing w:after="100"/>
      </w:pPr>
      <w:r>
        <w:rPr>
          <w:i/>
          <w:iCs/>
        </w:rPr>
        <w:t xml:space="preserve">Review the Alabama Secretary of State return and decide whether it changes your squad's posture toward RestonIT's signed agreement.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does the Alabama SOS record establish?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RestonIT is the intruder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Alex M. Reston is RestonIT's principal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RestonIT was dissolved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 vendor relationship exists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Dogwood already has the strongest RestonIT document of all four victims — what is it?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An AP ledger line item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 signed managed-services agreement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 phishing test result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wire confirmation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Does the SOS record change the significance of that signed agreement?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No, it's unrelated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Yes — it now attaches a named principal to the entity Dogwood contracted with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Yes, it invalidates the agreement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It has no bearing at all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RestonIT LLC's principal is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Dogwood's signed agreement was executed in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Why does Dogwood's signed services agreement matter more now than it did Monday?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IA — Intelligence Analyst</w:t>
      </w:r>
    </w:p>
    <w:p>
      <w:pPr>
        <w:spacing w:after="100"/>
      </w:pPr>
      <w:r>
        <w:rPr>
          <w:i/>
          <w:iCs/>
        </w:rPr>
        <w:t xml:space="preserve">Review the two lookalike-domain returns (email provider and registrar).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When was the lookalike domain email account created?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April 1, 2026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May 1, 2026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May 20, 2026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May 9, 2026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IP is tied to the account's creation and logins?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203.0.113.61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198.51.100.23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203.0.113.148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192.0.2.190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How was the lookalike domain paid for?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Credit card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BTC from the same wallet used for the VeilStream VPN subscription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Wire transfer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Cash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lookalike domain is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It was registered ______ before the malicious forwarding rule was created.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What does the shared wallet between this domain's registration and Pixel Play squad's VeilStream return suggest — and why can't you confirm it alone?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DA — Data Analyst</w:t>
      </w:r>
    </w:p>
    <w:p>
      <w:pPr>
        <w:spacing w:after="100"/>
      </w:pPr>
      <w:r>
        <w:rPr>
          <w:i/>
          <w:iCs/>
        </w:rPr>
        <w:t xml:space="preserve">Parse the Dogwood tenant admin audit for the svc_mailmgmt account.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When was svc_mailmgmt created?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2025-09-18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2025-10-15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2025-11-12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2026-05-09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Who created it, in UPN format?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RMH\rmm_admin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rmm_admin@dogwoodhotel.example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arcade_support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svc_backup_rst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did this account do on May 9?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Created the malicious forwarding rule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Was deleted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Was renamed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dormancy gap for this account, creation to malicious use, is approximately ______ months.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This account holds ______-equivalent privileges.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Explain, technically, why this account's creation format (“rmm_admin@dogwoodhotel.example”) still represents the same underlying identity as “rmm_admin” elsewhere.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FoA — Forensic Accountant</w:t>
      </w:r>
    </w:p>
    <w:p>
      <w:pPr>
        <w:spacing w:after="100"/>
      </w:pPr>
      <w:r>
        <w:rPr>
          <w:i/>
          <w:iCs/>
        </w:rPr>
        <w:t xml:space="preserve">Review the Ozark Valley Bank return for the fraud's beneficiary account.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identity was used to open the beneficiary account?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Alex M. Reston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“Raymond T. Colson,” a synthetic/stolen identity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RestonIT LLC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Ted Whitlock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happened to the account after the fraud was identified?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Remains active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Closed and fraud-flagged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Seized by the FBI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Transferred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discrepancy was noted in the KYC identity?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Address mismatch only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DOB/SSN mismatch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Name misspelling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 discrepancy found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beneficiary account number is ______, opened remotely in ______ 2026.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Funds were rapidly disbursed via ACH transfers, cash withdrawals, and one outbound transfer to a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Trace the fund path described in this return, from incoming wire to final disposition.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SOS — Staff Operations/Tactical Specialist</w:t>
      </w:r>
    </w:p>
    <w:p>
      <w:pPr>
        <w:spacing w:after="100"/>
      </w:pPr>
      <w:r>
        <w:rPr>
          <w:i/>
          <w:iCs/>
        </w:rPr>
        <w:t xml:space="preserve">Update the tracker and prepare today's cross-squad sync summary for Dogwood.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How many Day 2 returns did Dogwood's squad receive today?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One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Two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Four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None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shared element should you flag for the cross-squad sync?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The wallet paying for the lookalike domain, to compare against other squads' wallet findings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GM's memo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phishing test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administrative status should today's four returns be logged as?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Pending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Answered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Denied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Not applicable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Update your tracker: today's four Dogwood-specific returns are now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The wallet common to your lookalike-domain return should be compared at the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Draft your one-paragraph cross-squad sync summary for Dogwood's thread.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TFO — Task Force Officer</w:t>
      </w:r>
    </w:p>
    <w:p>
      <w:pPr>
        <w:spacing w:after="100"/>
      </w:pPr>
      <w:r>
        <w:rPr>
          <w:i/>
          <w:iCs/>
        </w:rPr>
        <w:t xml:space="preserve">Check local records tied to the synthetic identity and maintain custody of today's returns.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synthetic identity did the beneficiary account use?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real Dogwood employee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“Raymond T. Colson”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Alex Reston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Ted Whitlock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Should you expect legitimate local records for this synthetic identity?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Yes, definitely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Likely not — synthetic identities often don't check out against real records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Only if it's a common name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Only after Thursday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How should today's four Dogwood returns be logged for custody?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Informally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With source, date received, and how obtained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Only the bank return needs logging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Not until Friday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A local-records check on “Raymond T. Colson” with no legitimate hits should still be logged as a ______ result.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The beneficiary account was ______ once the fraud was identified.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What would you report at the cross-squad sync about the beneficiary-account identity check?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CS — Computer Scientist</w:t>
      </w:r>
    </w:p>
    <w:p>
      <w:pPr>
        <w:spacing w:after="100"/>
      </w:pPr>
      <w:r>
        <w:rPr>
          <w:i/>
          <w:iCs/>
        </w:rPr>
        <w:t xml:space="preserve">Technically review the tenant-admin audit's automation signature.</w:t>
      </w:r>
    </w:p>
    <w:p>
      <w:pPr>
        <w:pStyle w:val="Heading2"/>
        <w:spacing w:after="100" w:before="200"/>
      </w:pPr>
      <w:r>
        <w:t xml:space="preserve">Assessment items</w:t>
      </w:r>
    </w:p>
    <w:p>
      <w:pPr>
        <w:spacing w:after="100"/>
      </w:pPr>
      <w:r>
        <w:rPr>
          <w:b/>
          <w:bCs/>
        </w:rPr>
        <w:t xml:space="preserve">1. What log entries show the exact moment the forwarding rule was created and by what account?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GM's memo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The tenant admin audit log (New-InboxRule event)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wire confirmation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phishing test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protocol/client is logged for the account's mailbox login right after creating the rule?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OWA/Chrome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IMAP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POP3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SMTP relay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does pairing an automated account action (rule creation) with a specific IP address let you do, technically?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Nothing useful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Tie a specific network origin to a specific automated mailbox action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Prove who physically typed the command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Decrypt the account's password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The forwarding rule was created at ______ on May 9, 2026.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The mailbox login immediately after, using IMAP, came from IP ______.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6. What would you want to technically compare between this account's activity and CyberDyne's appliance evidence, once it's available?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pBdr>
          <w:bottom w:val="single" w:color="AAAAAA" w:sz="4"/>
        </w:pBdr>
        <w:spacing w:after="160"/>
      </w:pPr>
      <w:r>
        <w:t xml:space="preserve"> </w:t>
      </w:r>
    </w:p>
    <w:p>
      <w:pPr>
        <w:spacing w:after="100"/>
      </w:pPr>
      <w:r>
        <w:t xml:space="preserve"/>
      </w:r>
    </w:p>
    <w:p>
      <w:pPr>
        <w:pStyle w:val="Heading1"/>
        <w:pageBreakBefore/>
        <w:spacing w:after="140" w:before="300"/>
      </w:pPr>
      <w:r>
        <w:t xml:space="preserve">Squad Quiz — Dogwood Hotel (still victim-scoped)</w:t>
      </w:r>
    </w:p>
    <w:p>
      <w:pPr>
        <w:spacing w:after="100"/>
      </w:pPr>
      <w:r>
        <w:rPr>
          <w:i/>
          <w:iCs/>
        </w:rPr>
        <w:t xml:space="preserve">Complete this together, as a squad, after every role has finished its individual assessment. Scope: your victim only — do not assume facts about other victims.</w:t>
      </w:r>
    </w:p>
    <w:p>
      <w:pPr>
        <w:spacing w:after="100"/>
      </w:pPr>
      <w:r>
        <w:rPr>
          <w:b/>
          <w:bCs/>
        </w:rPr>
        <w:t xml:space="preserve">1. What identity was used for the fraud's beneficiary bank account?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Alex M. Reston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 synthetic identity, “Raymond T. Colson”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Ted Whitlock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RestonIT LLC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2. What wallet paid for the lookalike domain's registration?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w1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w2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w3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credit card, no wallet involved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3. What does the tenant-admin account svc_mailmgmt's UPN-format name represent?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A different actor from rmm_admin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The same rmm_admin principal, different naming format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An unrelated IT admin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A customer account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4. What is the strongest RestonIT-tie document your squad already holds?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The AP ledger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 signed managed-services agreement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phishing test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The wire confirmations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5. What's the most defensible characterization of today's findings?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A. RestonIT is confirmed as the intruder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B. A financially-connected BEC scheme using a dormant provisioned account, a lookalike domain, and a synthetic-identity bank account — not yet an established actor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C. The case is closed</w:t>
      </w:r>
    </w:p>
    <w:p>
      <w:pPr>
        <w:spacing w:after="40"/>
        <w:ind w:left="360"/>
      </w:pPr>
      <w:r>
        <w:rPr>
          <w:b w:val="false"/>
          <w:bCs w:val="false"/>
          <w:color w:val="000000"/>
        </w:rPr>
        <w:t xml:space="preserve">D. Ted Whitlock is a confirmed suspect</w:t>
      </w:r>
    </w:p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UNCLASSIFIED//FOUO//PACT   · 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E2761"/>
        <w:sz w:val="16"/>
        <w:szCs w:val="16"/>
      </w:rPr>
      <w:t xml:space="preserve">UNCLASSIFIED//FOUO//PACT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2026-09-17T16:19:16.379Z</dcterms:created>
  <dcterms:modified xsi:type="dcterms:W3CDTF">2026-09-17T16:19:16.379Z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