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FBI CYBER INVESTIGATION TRAINING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Investigating Cryptocurrency Workshop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Facilitator Guide — The Harlow Dental Group Trace</w:t>
      </w:r>
    </w:p>
    <w:p>
      <w:pPr>
        <w:spacing w:after="200"/>
        <w:jc w:val="center"/>
      </w:pPr>
      <w:r>
        <w:rPr>
          <w:b/>
          <w:bCs/>
          <w:color w:val="B00000"/>
        </w:rPr>
        <w:t xml:space="preserve">UNCLASSIFIED — Instructor use only — do not distribute to students</w:t>
      </w:r>
    </w:p>
    <w:p>
      <w:pPr>
        <w:pStyle w:val="Heading2"/>
        <w:spacing w:after="110" w:before="220"/>
      </w:pPr>
      <w:r>
        <w:t xml:space="preserve">How this fits</w:t>
      </w:r>
    </w:p>
    <w:p>
      <w:pPr>
        <w:spacing w:after="110"/>
      </w:pPr>
      <w:r>
        <w:t xml:space="preserve">This lecture's own deck ends with a worked example (“QUIET LEDGER,” Slide 21) and a next-steps checklist (Slide 22). Rather than re-running that same worked example, this workshop gives squads a fresh, parallel scenario — Harlow Dental Group — built with clean, internally consistent hop-by-hop data so squads apply the checklist themselves instead of recalling the lecture's answer.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200" w:before="120"/>
      </w:pPr>
      <w:r>
        <w:rPr>
          <w:b/>
          <w:bCs/>
        </w:rPr>
        <w:t xml:space="preserve">INSTRUCTOR NOTE: </w:t>
      </w:r>
      <w:r>
        <w:t xml:space="preserve">The trace data (addresses, hashes, amounts) is fictional but arithmetically consistent: 0.85 BTC in, 0.03 BTC peels off, 0.82 BTC continues, then 0.79 BTC emerges post-mixer (fee-consistent), landing at Vantex. If you adapt this exercise, keep the amounts internally consistent — a sharp squad will notice if they don't add up, and that undermines the exercise's credibility.</w:t>
      </w:r>
    </w:p>
    <w:p>
      <w:pPr>
        <w:pStyle w:val="Heading2"/>
        <w:spacing w:after="110" w:before="220"/>
      </w:pPr>
      <w:r>
        <w:t xml:space="preserve">Timing (suggested 75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0:00–0:05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 the workshop; framework quick check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0:05–0:50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Steps 1–6, in order (~7–8 minutes each)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0:50–1:00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Trial-readiness check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1:00–1:15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out (assign different steps to different squads) and synthesis discussion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spacing w:after="110" w:before="220"/>
      </w:pPr>
      <w:r>
        <w:t xml:space="preserve">Grading philosophy</w:t>
      </w:r>
    </w:p>
    <w:p>
      <w:pPr>
        <w:spacing w:after="110"/>
      </w:pPr>
      <w:r>
        <w:t xml:space="preserve">Grade the quick-check MC/FITB items for correctness. Grade the drafted tasks against the ‘must include’ list, not exact wording — the model answers show a complete response, not the only acceptable phrasing. Step 3 is the category most worth watching closely: the confidence-calibration distinction between an on-chain peel chain (confirmed) and a post-mixer reappearance (consistent with, not proven) is the single most important judgment call in the whole exercise.</w:t>
      </w:r>
    </w:p>
    <w:p>
      <w:pPr>
        <w:pStyle w:val="Heading1"/>
        <w:spacing w:after="140" w:before="280"/>
      </w:pPr>
      <w:r>
        <w:t xml:space="preserve">Framework quick check — answer key</w:t>
      </w:r>
    </w:p>
    <w:p>
      <w:pPr>
        <w:spacing w:after="110"/>
      </w:pPr>
      <w:r>
        <w:rPr>
          <w:b/>
          <w:bCs/>
        </w:rPr>
        <w:t xml:space="preserve">1. An address on a public blockchain is best understood as: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verified real-world identity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 alphanumeric label that is not an identity until something else ties a person to it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bank account number issued by a government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Proof of ownership on its own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Which asset type is built so a centralized issuer may be able to freeze funds?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privacy coin like Monero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stablecoin like USDC or Tether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Bitcoin specifically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 — no crypto can be frozen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Funds held by a third-party platform on a user's behalf, rather than by the user directly, is called ______ custody.</w:t>
      </w:r>
    </w:p>
    <w:p>
      <w:pPr>
        <w:spacing w:after="110"/>
      </w:pPr>
      <w:r>
        <w:rPr>
          <w:b/>
          <w:bCs/>
          <w:color w:val="1E7A34"/>
        </w:rPr>
        <w:t xml:space="preserve">Answer: custodial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4. A regulated company that generally performs KYC on its crypto customers is called a ______ (acronym).</w:t>
      </w:r>
    </w:p>
    <w:p>
      <w:pPr>
        <w:spacing w:after="110"/>
      </w:pPr>
      <w:r>
        <w:rPr>
          <w:b/>
          <w:bCs/>
          <w:color w:val="1E7A34"/>
        </w:rPr>
        <w:t xml:space="preserve">Answer: VASP</w:t>
      </w:r>
    </w:p>
    <w:p>
      <w:pPr>
        <w:spacing w:after="110"/>
      </w:pPr>
      <w:r>
        <w:t xml:space="preserve"/>
      </w:r>
    </w:p>
    <w:p>
      <w:pPr>
        <w:pStyle w:val="Heading1"/>
        <w:spacing w:after="140" w:before="280"/>
      </w:pPr>
      <w:r>
        <w:t xml:space="preserve">Step 1 — Capture</w:t>
      </w:r>
    </w:p>
    <w:p>
      <w:pPr>
        <w:spacing w:after="110"/>
      </w:pPr>
      <w:r>
        <w:rPr>
          <w:i/>
          <w:iCs/>
        </w:rPr>
        <w:t xml:space="preserve">Victim report: Harlow Dental Group's practice manager confirms a ransom payment was sent from the practice's Coinbase account on Day 0 at 14:02 UTC.</w:t>
      </w:r>
    </w:p>
    <w:p>
      <w:pPr>
        <w:spacing w:after="110"/>
      </w:pPr>
      <w:r>
        <w:rPr>
          <w:i/>
          <w:iCs/>
        </w:rPr>
        <w:t xml:space="preserve">Sending address (victim, Coinbase-controlled): known and already in the case file.</w:t>
      </w:r>
    </w:p>
    <w:p>
      <w:pPr>
        <w:spacing w:after="110"/>
      </w:pPr>
      <w:r>
        <w:rPr>
          <w:i/>
          <w:iCs/>
        </w:rPr>
        <w:t xml:space="preserve">Receiving address logged by the victim's exchange: Address A.</w:t>
      </w:r>
    </w:p>
    <w:p>
      <w:pPr>
        <w:spacing w:after="110"/>
      </w:pPr>
      <w:r>
        <w:rPr>
          <w:i/>
          <w:iCs/>
        </w:rPr>
        <w:t xml:space="preserve">Transaction hash: 9f2c…a41d. Amount: 0.85 BTC.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Per the checklist, what should happen before anything else once a crypto payment is reported?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Wait for a complete trace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Capture the exact address, transaction hash, amount, and timestamp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Immediately contact the exchange's CEO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Convert the amount to USD for the report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Write down, in a clean evidentiary format, the four data points your squad has for this first transaction.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States the sending and receiving addresses distinctly (even though the sending address is just referenced, not given in full — a squad should note that the victim's own address is already in the case file rather than treating it as missing)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States the transaction hash and the amount/timestamp as two separate, specific data points, not folded together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Sending address: Harlow Dental's Coinbase-controlled address (already in case file). Receiving address: Address A. Transaction hash: 9f2c…a41d. Amount and timestamp: 0.85 BTC, Day 0, 14:02 UTC.</w:t>
      </w:r>
    </w:p>
    <w:p>
      <w:pPr>
        <w:pStyle w:val="Heading1"/>
        <w:spacing w:after="140" w:before="280"/>
      </w:pPr>
      <w:r>
        <w:t xml:space="preserve">Step 2 — Classify</w:t>
      </w:r>
    </w:p>
    <w:p>
      <w:pPr>
        <w:spacing w:after="110"/>
      </w:pPr>
      <w:r>
        <w:rPr>
          <w:i/>
          <w:iCs/>
        </w:rPr>
        <w:t xml:space="preserve">The ransom was paid in Bitcoin.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Which category does Bitcoin fall into for tracing purposes?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Privacy coin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Transparent ledger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Stablecoin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 of these categories apply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If this ransom had instead been paid in Monero, tracing would be significantly ______ and often require specialized capability.</w:t>
      </w:r>
    </w:p>
    <w:p>
      <w:pPr>
        <w:spacing w:after="110"/>
      </w:pPr>
      <w:r>
        <w:rPr>
          <w:b/>
          <w:bCs/>
          <w:color w:val="1E7A34"/>
        </w:rPr>
        <w:t xml:space="preserve">Answer: harder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State, in one sentence, what this classification means for whether basic tracing is realistically possible here.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Correctly identifies Bitcoin as a transparent-ledger asset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States that this means the address history is publicly visible and basic tracing is realistically possible — not guaranteed to succeed, but not blocked by asset type the way a privacy coin would be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Bitcoin is a transparent-ledger asset, so the full transaction history for these addresses is publicly visible and basic hop-by-hop tracing is realistically possible here — unlike a privacy coin, where tracing would likely require specialized capability from the start.</w:t>
      </w:r>
    </w:p>
    <w:p>
      <w:pPr>
        <w:pStyle w:val="Heading1"/>
        <w:spacing w:after="140" w:before="280"/>
      </w:pPr>
      <w:r>
        <w:t xml:space="preserve">Step 3 — Trace the hops</w:t>
      </w:r>
    </w:p>
    <w:p>
      <w:pPr>
        <w:spacing w:after="110"/>
      </w:pPr>
      <w:r>
        <w:rPr>
          <w:i/>
          <w:iCs/>
        </w:rPr>
        <w:t xml:space="preserve">TX2: Address A splits the funds — 0.03 BTC moves to Address P, while 0.82 BTC moves to Address B. Txid 7b88…e213, Day 0, 22:47 UTC.</w:t>
      </w:r>
    </w:p>
    <w:p>
      <w:pPr>
        <w:spacing w:after="110"/>
      </w:pPr>
      <w:r>
        <w:rPr>
          <w:i/>
          <w:iCs/>
        </w:rPr>
        <w:t xml:space="preserve">TX3: Address B sends 0.82 BTC to a cluster of addresses your office's licensed platform flags as “TumbleCore” — a known mixing service. Txid c410… 9a02, Day 1, 03:15 UTC.</w:t>
      </w:r>
    </w:p>
    <w:p>
      <w:pPr>
        <w:spacing w:after="110"/>
      </w:pPr>
      <w:r>
        <w:rPr>
          <w:i/>
          <w:iCs/>
        </w:rPr>
        <w:t xml:space="preserve">TX4: Address C receives 0.79 BTC from TumbleCore's output cluster. Txid 5e77…b190, Day 2, 09:00 UTC.</w:t>
      </w:r>
    </w:p>
    <w:p>
      <w:pPr>
        <w:spacing w:after="110"/>
      </w:pPr>
      <w:r>
        <w:rPr>
          <w:i/>
          <w:iCs/>
        </w:rPr>
        <w:t xml:space="preserve">TX5: Address C deposits 0.79 BTC into a hot-wallet address cluster your platform identifies, by deposit/withdrawal pattern, as belonging to “Vantex,” a U.S.-incorporated exchange. Txid 22f0…d5c8, Day 2, 09:41 UTC.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What technique does TX2 (splitting into 0.03 BTC and 0.82 BTC) demonstrate?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Chain-hopping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peel chain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Privacy coin conversion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stablecoin freeze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What technique does TX3–TX4 demonstrate?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peel chain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Chain-hopping into a different cryptocurrency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Mixing/tumbling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unusual</w:t>
      </w:r>
    </w:p>
    <w:p>
      <w:pPr>
        <w:spacing w:after="110"/>
      </w:pPr>
      <w:r>
        <w:rPr>
          <w:b/>
          <w:bCs/>
          <w:color w:val="1E7A34"/>
        </w:rPr>
        <w:t xml:space="preserve">Answer: C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The amount changes from 0.82 BTC going into TumbleCore to 0.79 BTC coming out — this difference is consistent with a ______ charged by the mixing service.</w:t>
      </w:r>
    </w:p>
    <w:p>
      <w:pPr>
        <w:spacing w:after="110"/>
      </w:pPr>
      <w:r>
        <w:rPr>
          <w:b/>
          <w:bCs/>
          <w:color w:val="1E7A34"/>
        </w:rPr>
        <w:t xml:space="preserve">Answer: fee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State your confidence that the 0.79 BTC arriving at Vantex (TX5) is the same money that entered TumbleCore in TX3, and explain why a mixer changes that confidence level compared to TX2's peel chain.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not claim certainty that TX4's funds are definitively the same funds as TX3 — a mixer is specifically designed to break deterministic address-to-address linkage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Contrasts this with TX2, where the split is directly observable on-chain and the two resulting amounts can be followed with much higher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States the confidence level for the post-mixer link as something like 'consistent with, but not proven to be' the original funds — not 'confirmed'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Moderate confidence, at best, that TX4's 0.79 BTC is the same money that entered TumbleCore — the amount and timing are consistent with it, but a mixer is specifically designed to break the deterministic link a normal address-to-address hop preserves. This is categorically different from TX2's peel chain, where both resulting addresses are directly, publicly observable outputs of the same transaction — that link is confirmed by the ledger itself, not inferred from a pattern.</w:t>
      </w:r>
    </w:p>
    <w:p>
      <w:pPr>
        <w:pStyle w:val="Heading1"/>
        <w:spacing w:after="140" w:before="280"/>
      </w:pPr>
      <w:r>
        <w:t xml:space="preserve">Step 4 — Identify the exchange and match legal process</w:t>
      </w:r>
    </w:p>
    <w:p>
      <w:pPr>
        <w:spacing w:after="110"/>
      </w:pPr>
      <w:r>
        <w:rPr>
          <w:i/>
          <w:iCs/>
        </w:rPr>
        <w:t xml:space="preserve">Vantex is identified as a U.S.-incorporated, licensed VASP.</w:t>
      </w:r>
    </w:p>
    <w:p>
      <w:pPr>
        <w:spacing w:after="110"/>
      </w:pPr>
      <w:r>
        <w:rPr>
          <w:i/>
          <w:iCs/>
        </w:rPr>
        <w:t xml:space="preserve">Your squad needs three different categories of information from Vantex about the account controlling the receiving hot-wallet cluster.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What must be true of a VASP for KYC records to exist to request in the first place?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must be a privacy-coin platform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 must be regulated and generally perform KYC on its customers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must be a hardware wallet manufacturer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— all platforms keep identical records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For each of the three asks below, name the specific legal process tier that fits, and briefly say why.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1: name, address, and ID on file for the account controlling the receiving cluster.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2: full transaction history and login IP/device logs for that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3: any stored messages the account holder exchanged with Vantex support.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1 → subpoena (basic subscriber/KYC information)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2 → court order / 2703(d)-type order (non-content records)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3 → search warrant (content — the highest evidentiary bar)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not use the same process tier for all three — that's the error this task is built to catch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Ask 1 (name/address/ID): a subpoena — basic subscriber and KYC information. Ask 2 (transaction history, IP/device logs): a court order or 2703(d)-type order — non-content records that need more than a subpoena but not full content-level authority. Ask 3 (stored messages/content): a search warrant — content always requires the highest bar available here.</w:t>
      </w:r>
    </w:p>
    <w:p>
      <w:pPr>
        <w:pStyle w:val="Heading1"/>
        <w:spacing w:after="140" w:before="280"/>
      </w:pPr>
      <w:r>
        <w:t xml:space="preserve">Step 5 — Provenance</w:t>
      </w:r>
    </w:p>
    <w:p>
      <w:pPr>
        <w:spacing w:after="110"/>
      </w:pPr>
      <w:r>
        <w:rPr>
          <w:i/>
          <w:iCs/>
        </w:rPr>
        <w:t xml:space="preserve">Your squad pulled TX5's data from your office's licensed blockchain analysis platform today.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Provenance documentation for a crypto record requires the wallet/account identifier, the platform, the transaction/block reference, the date/time of the query, the method used, and the ______ of the export.</w:t>
      </w:r>
    </w:p>
    <w:p>
      <w:pPr>
        <w:spacing w:after="110"/>
      </w:pPr>
      <w:r>
        <w:rPr>
          <w:b/>
          <w:bCs/>
          <w:color w:val="1E7A34"/>
        </w:rPr>
        <w:t xml:space="preserve">Answer: preservation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Draft the six-element provenance record for your TX5 pull, using today's date as the query date.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Names all six elements from Slide 18: identifier, platform/ledger, transaction/block reference, date/time of query, method used, and preservation of the export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Applies them specifically to TX5 (the Vantex deposit) rather than writing generic placeholders with no case-specific content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(1) Identifier: Address C / receiving hot-wallet cluster at Vantex. (2) Platform: Bitcoin blockchain, viewed via [office's licensed platform]. (3) Transaction/block reference: txid 22f0…d5c8. (4) Date/time of query: [today's date], per the squad's actual pull. (5) Method: licensed blockchain-analysis platform export (not a public block explorer alone, if that's what was used). (6) Preservation: exported file saved to the case evidence system, with a hash value recorded for the export file itself.</w:t>
      </w:r>
    </w:p>
    <w:p>
      <w:pPr>
        <w:pStyle w:val="Heading1"/>
        <w:spacing w:after="140" w:before="280"/>
      </w:pPr>
      <w:r>
        <w:t xml:space="preserve">Step 6 — Escalate</w:t>
      </w:r>
    </w:p>
    <w:p>
      <w:pPr>
        <w:spacing w:after="110"/>
      </w:pPr>
      <w:r>
        <w:rPr>
          <w:i/>
          <w:iCs/>
        </w:rPr>
        <w:t xml:space="preserve">The trail passed through a known mixing service (TumbleCore) at TX3–TX4.</w:t>
      </w:r>
    </w:p>
    <w:p>
      <w:pPr>
        <w:spacing w:after="110"/>
      </w:pPr>
      <w:r>
        <w:rPr>
          <w:b/>
          <w:bCs/>
        </w:rPr>
        <w:t xml:space="preserve">Quick check — answer key:</w:t>
      </w:r>
    </w:p>
    <w:p>
      <w:pPr>
        <w:spacing w:after="110"/>
      </w:pPr>
      <w:r>
        <w:rPr>
          <w:b/>
          <w:bCs/>
        </w:rPr>
        <w:t xml:space="preserve">1. Per the deck, what's the right move when a trace hits a mixer?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Force the trace through by guessing likely output addresses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Document the pattern and escalate to a specialist team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Stop the investigation entirely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Ignore the mixer and treat the pre- and post-mixer addresses as definitively linked</w:t>
      </w:r>
    </w:p>
    <w:p>
      <w:pPr>
        <w:spacing w:after="110"/>
      </w:pPr>
      <w:r>
        <w:rPr>
          <w:b/>
          <w:bCs/>
          <w:color w:val="1E7A34"/>
        </w:rPr>
        <w:t xml:space="preserve">Answer: B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The specialized FBI team for cryptocurrency tracing and seizure support is the ______ (acronym).</w:t>
      </w:r>
    </w:p>
    <w:p>
      <w:pPr>
        <w:spacing w:after="110"/>
      </w:pPr>
      <w:r>
        <w:rPr>
          <w:b/>
          <w:bCs/>
          <w:color w:val="1E7A34"/>
        </w:rPr>
        <w:t xml:space="preserve">Answer: VCRT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Draft the one-sentence escalation request your squad would send to your office's crypto resource, given everything above.</w:t>
      </w:r>
    </w:p>
    <w:p>
      <w:pPr>
        <w:spacing w:after="110"/>
      </w:pPr>
      <w:r>
        <w:rPr>
          <w:b/>
          <w:bCs/>
        </w:rPr>
        <w:t xml:space="preserve">A complete squad answer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Names the specific trigger (a known mixer in the trail) rather than a vague 'this case involves crypto'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Asks for something specific and actionable (e.g., help resolving the post-mixer linkage, or confirming the Vantex cluster identification) rather than an open-ended request for help</w:t>
      </w:r>
    </w:p>
    <w:p>
      <w:pPr>
        <w:spacing w:after="110"/>
      </w:pPr>
      <w:r>
        <w:rPr>
          <w:b/>
          <w:bCs/>
          <w:color w:val="1E7A34"/>
        </w:rPr>
        <w:t xml:space="preserve">Model answer:</w:t>
      </w:r>
    </w:p>
    <w:p>
      <w:pPr>
        <w:spacing w:after="110"/>
      </w:pPr>
      <w:r>
        <w:rPr>
          <w:i/>
          <w:iCs/>
          <w:color w:val="1E7A34"/>
        </w:rPr>
        <w:t xml:space="preserve">“We have a ransomware-payment trace (Harlow Dental Group) that passes through a known mixing service (TumbleCore) before funds reappear at Vantex exchange — requesting VCRT support to assess confidence in the post-mixer linkage before we finalize legal process on the Vantex account.”</w:t>
      </w:r>
    </w:p>
    <w:p>
      <w:pPr>
        <w:pStyle w:val="Heading1"/>
        <w:spacing w:after="140" w:before="280"/>
      </w:pPr>
      <w:r>
        <w:t xml:space="preserve">Trial-readiness check — grading notes</w:t>
      </w:r>
    </w:p>
    <w:p>
      <w:pPr>
        <w:spacing w:after="110"/>
      </w:pPr>
      <w:r>
        <w:rPr>
          <w:i/>
          <w:iCs/>
        </w:rPr>
        <w:t xml:space="preserve">Slide 24 lists five questions opposing counsel will ask about a trace like this one. Answer each one, specifically, using your own work above — not in the abstract.</w:t>
      </w:r>
    </w:p>
    <w:p>
      <w:pPr>
        <w:spacing w:after="110"/>
      </w:pPr>
      <w:r>
        <w:rPr>
          <w:i/>
          <w:iCs/>
        </w:rPr>
        <w:t xml:space="preserve">Squads should answer each of these five questions using specifics from their own work above (their platform/method from Step 5, the actual txid and addresses, the query date they used, and — this one has no clean answer in the scenario, which is the point — who else had access to the wallet or keys is not established anywhere in this packet. A squad that notices that gap and says so explicitly should get full credit; a squad that invents an answer to avoid an awkward blank should not.</w:t>
      </w:r>
    </w:p>
    <w:p>
      <w:pPr>
        <w:pStyle w:val="Heading2"/>
        <w:spacing w:after="110" w:before="220"/>
      </w:pPr>
      <w:r>
        <w:t xml:space="preserve">Common pitfalls to watch for (tied to Slide 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Treating Address A, B, or C as if it were a person's identity rather than a label needing corroboration.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Waiting to draft the Vantex legal process until the post-mixer linkage is fully resolved — Slide 23 and Slide 21's worked example both say to start the process as soon as an exchange target is identified, not after a complete trace.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Skipping or genericizing the Step 5 provenance task — a provenance record with no case-specific txid or query date is exactly the 'for now' shortcut the deck warns against.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squad trying to resolve the mixer link itself with confidence, instead of recognizing Step 6 as the moment to escalate.</w:t>
      </w:r>
    </w:p>
    <w:p>
      <w:pPr>
        <w:pStyle w:val="Heading2"/>
        <w:spacing w:after="110" w:before="220"/>
      </w:pPr>
      <w:r>
        <w:t xml:space="preserve">Sources</w:t>
      </w:r>
    </w:p>
    <w:p>
      <w:pPr>
        <w:spacing w:after="110"/>
      </w:pPr>
      <w:r>
        <w:rPr>
          <w:i/>
          <w:iCs/>
        </w:rPr>
        <w:t xml:space="preserve">This scenario (Harlow Dental Group, TumbleCore, Vantex, and all addresses/hashes) is fictional, built to exercise every stage of this lecture's workflow with clean, internally consistent data. It is not based on a real case and does not reference Operation BROKERED EXIT.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Facilitator Guide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444444"/>
        <w:sz w:val="16"/>
        <w:szCs w:val="16"/>
      </w:rPr>
      <w:t xml:space="preserve">UNCLASSIFIED  ·  FBI Cyber Investigation Training  ·  Investigating Cryptocurrency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2026-09-24T18:57:44.226Z</dcterms:created>
  <dcterms:modified xsi:type="dcterms:W3CDTF">2026-09-24T18:57:44.226Z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