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3</w:t>
      </w:r>
    </w:p>
    <w:p>
      <w:pPr>
        <w:spacing w:after="60"/>
        <w:jc w:val="center"/>
      </w:pPr>
      <w:r>
        <w:rPr>
          <w:b/>
          <w:bCs/>
          <w:sz w:val="32"/>
          <w:szCs w:val="32"/>
        </w:rPr>
        <w:t xml:space="preserve">Digital Evidence Workshop</w:t>
      </w:r>
    </w:p>
    <w:p>
      <w:pPr>
        <w:spacing w:after="220"/>
        <w:jc w:val="center"/>
      </w:pPr>
      <w:r>
        <w:rPr>
          <w:i/>
          <w:iCs/>
          <w:sz w:val="20"/>
          <w:szCs w:val="20"/>
        </w:rPr>
        <w:t xml:space="preserve">Squad Packet — Sable Ridge Financial Advisors</w:t>
      </w:r>
    </w:p>
    <w:p>
      <w:pPr>
        <w:spacing w:after="200"/>
        <w:jc w:val="center"/>
      </w:pPr>
      <w:r>
        <w:rPr>
          <w:b/>
          <w:bCs/>
          <w:color w:val="B00000"/>
        </w:rPr>
        <w:t xml:space="preserve">UNCLASSIFIED</w:t>
      </w:r>
    </w:p>
    <w:p>
      <w:pPr>
        <w:pStyle w:val="Heading2"/>
        <w:spacing w:after="110" w:before="220"/>
      </w:pPr>
      <w:r>
        <w:t xml:space="preserve">How this works</w:t>
      </w:r>
    </w:p>
    <w:p>
      <w:pPr>
        <w:spacing w:after="110"/>
      </w:pPr>
      <w:r>
        <w:t xml:space="preserve">This is squad work. Talk through each part together before anyone writes an answer — the point is practicing the reasoning as a group, the way you'll actually have to do it this afternoon and in the field. Nothing in this packet is multiple choice; every answer is something your squad drafts and defends.</w:t>
      </w:r>
    </w:p>
    <w:p>
      <w:pPr>
        <w:spacing w:after="110"/>
      </w:pPr>
      <w:r>
        <w:t xml:space="preserve">This scenario — Sable Ridge Financial Advisors — is unrelated to anything you'll see this afternoon. It's built fresh for this workshop.</w:t>
      </w:r>
    </w:p>
    <w:p>
      <w:pPr>
        <w:pStyle w:val="Heading1"/>
        <w:spacing w:after="140" w:before="280"/>
      </w:pPr>
      <w:r>
        <w:t xml:space="preserve">Part 1 — Source and Limits</w:t>
      </w:r>
    </w:p>
    <w:p>
      <w:pPr>
        <w:spacing w:after="110"/>
      </w:pPr>
      <w:r>
        <w:t xml:space="preserve">Below are ten raw evidence fragments from an intrusion at Sable Ridge Financial Advisors, a fictional wealth-management firm. For each fragment, your squad should identify: the artifact category it belongs to (one of the six host categories or four network categories from this morning's lecture, or note if it's neither), one specific thing it tells you, and one specific thing it does NOT tell you on its own.</w:t>
      </w:r>
    </w:p>
    <w:p>
      <w:pPr>
        <w:pStyle w:val="Heading3"/>
        <w:spacing w:after="80" w:before="160"/>
      </w:pPr>
      <w:r>
        <w:t xml:space="preserve">Fragment 1</w:t>
      </w:r>
    </w:p>
    <w:p>
      <w:pPr>
        <w:spacing w:after="110"/>
      </w:pPr>
      <w:r>
        <w:t xml:space="preserve">Badge access log (facilities system): Badge holder J. Kim, Main Entrance, “Access granted,” 2024-11-04, 07:52 AM (Eastern, UTC-5).</w:t>
      </w:r>
    </w:p>
    <w:p>
      <w:pPr>
        <w:pStyle w:val="Heading3"/>
        <w:spacing w:after="80" w:before="160"/>
      </w:pPr>
      <w:r>
        <w:t xml:space="preserve">Fragment 2</w:t>
      </w:r>
    </w:p>
    <w:p>
      <w:pPr>
        <w:spacing w:after="110"/>
      </w:pPr>
      <w:r>
        <w:t xml:space="preserve">Browser history (WKS-14, user profile jkim): URL hxxp://mail-secure-login.example/reset, title “Account Security Verification,” visited 2024-11-04, 09:05 AM (Eastern, UTC-5).</w:t>
      </w:r>
    </w:p>
    <w:p>
      <w:pPr>
        <w:pStyle w:val="Heading3"/>
        <w:spacing w:after="80" w:before="160"/>
      </w:pPr>
      <w:r>
        <w:t xml:space="preserve">Fragment 3</w:t>
      </w:r>
    </w:p>
    <w:p>
      <w:pPr>
        <w:spacing w:after="110"/>
      </w:pPr>
      <w:r>
        <w:t xml:space="preserve">Windows Security event log (WKS-14): Event ID 4625 (failed logon), account jkim, source IP 198.51.100.77, six occurrences, 2024-11-04, 09:14:00–09:14:45 AM (Eastern, UTC-5).</w:t>
      </w:r>
    </w:p>
    <w:p>
      <w:pPr>
        <w:pStyle w:val="Heading3"/>
        <w:spacing w:after="80" w:before="160"/>
      </w:pPr>
      <w:r>
        <w:t xml:space="preserve">Fragment 4</w:t>
      </w:r>
    </w:p>
    <w:p>
      <w:pPr>
        <w:spacing w:after="110"/>
      </w:pPr>
      <w:r>
        <w:t xml:space="preserve">Windows Security event log (WKS-14): Event ID 4624 (successful logon), account jkim, Logon Type 10 (RemoteInteractive), source IP 198.51.100.77, 2024-11-04 14:21:03 UTC.</w:t>
      </w:r>
    </w:p>
    <w:p>
      <w:pPr>
        <w:pStyle w:val="Heading3"/>
        <w:spacing w:after="80" w:before="160"/>
      </w:pPr>
      <w:r>
        <w:t xml:space="preserve">Fragment 5</w:t>
      </w:r>
    </w:p>
    <w:p>
      <w:pPr>
        <w:spacing w:after="110"/>
      </w:pPr>
      <w:r>
        <w:t xml:space="preserve">NetFlow record (perimeter collector): Src 10.20.4.14 (WKS-14) → Dst 198.51.100.77, port 3389, 4,204,880 bytes, duration 47m12s, session start 2024-11-04 14:21:00 UTC.</w:t>
      </w:r>
    </w:p>
    <w:p>
      <w:pPr>
        <w:pStyle w:val="Heading3"/>
        <w:spacing w:after="80" w:before="160"/>
      </w:pPr>
      <w:r>
        <w:t xml:space="preserve">Fragment 6</w:t>
      </w:r>
    </w:p>
    <w:p>
      <w:pPr>
        <w:spacing w:after="110"/>
      </w:pPr>
      <w:r>
        <w:t xml:space="preserve">DNS resolver log (internal): Query update-secure-cdn.example, type A, answer 198.51.100.77, client WKS-14, 2024-11-04 14:23:52 UTC.</w:t>
      </w:r>
    </w:p>
    <w:p>
      <w:pPr>
        <w:pStyle w:val="Heading3"/>
        <w:spacing w:after="80" w:before="160"/>
      </w:pPr>
      <w:r>
        <w:t xml:space="preserve">Fragment 7</w:t>
      </w:r>
    </w:p>
    <w:p>
      <w:pPr>
        <w:spacing w:after="110"/>
      </w:pPr>
      <w:r>
        <w:t xml:space="preserve">Web proxy log (perimeter): GET hxxp://update-secure-cdn.example/payload.bin, client WKS-14, status 200, 2,114,302 bytes, 2024-11-04 14:24:40 UTC.</w:t>
      </w:r>
    </w:p>
    <w:p>
      <w:pPr>
        <w:pStyle w:val="Heading3"/>
        <w:spacing w:after="80" w:before="160"/>
      </w:pPr>
      <w:r>
        <w:t xml:space="preserve">Fragment 8</w:t>
      </w:r>
    </w:p>
    <w:p>
      <w:pPr>
        <w:spacing w:after="110"/>
      </w:pPr>
      <w:r>
        <w:t xml:space="preserve">Registry excerpt (WKS-14, extracted from forensic image): HKCU\Software\Microsoft\Windows\CurrentVersion\Run, new value “SecurityHealthUpdate” → %APPDATA%\svchosthelper.exe, last write time 2024-11-04T14:26:10Z.</w:t>
      </w:r>
    </w:p>
    <w:p>
      <w:pPr>
        <w:pStyle w:val="Heading3"/>
        <w:spacing w:after="80" w:before="160"/>
      </w:pPr>
      <w:r>
        <w:t xml:space="preserve">Fragment 9</w:t>
      </w:r>
    </w:p>
    <w:p>
      <w:pPr>
        <w:spacing w:after="110"/>
      </w:pPr>
      <w:r>
        <w:t xml:space="preserve">Live memory acquisition (WKS-14, captured on scene): Process svchost.exe (PID 4471, parent PID inconsistent with the normal svchost tree) with an active TCP connection to 198.51.100.77:443. Capture time 2024-11-04, 3:00 PM (Eastern, UTC-5).</w:t>
      </w:r>
    </w:p>
    <w:p>
      <w:pPr>
        <w:pStyle w:val="Heading3"/>
        <w:spacing w:after="80" w:before="160"/>
      </w:pPr>
      <w:r>
        <w:t xml:space="preserve">Fragment 10</w:t>
      </w:r>
    </w:p>
    <w:p>
      <w:pPr>
        <w:spacing w:after="110"/>
      </w:pPr>
      <w:r>
        <w:t xml:space="preserve">On-scene witness interaction: IT Director recalls, “I think Jamie mentioned her computer was running slow sometime after she got back from lunch.” No specific time given; lunch is typically 12:00–1:00 PM. Interview conducted on scene, same day.</w:t>
      </w:r>
    </w:p>
    <w:p>
      <w:pPr>
        <w:spacing w:after="110"/>
      </w:pPr>
      <w:r>
        <w:t xml:space="preserve">Fill in the table below as a squad: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060"/>
      </w:tblGrid>
      <w:tr>
        <w:trPr>
          <w:tblHeader/>
        </w:trPr>
        <w:tc>
          <w:tcPr>
            <w:tcW w:type="dxa" w:w="900"/>
            <w:shd w:fill="D9D9D9" w:val="clear"/>
            <w:tcMar>
              <w:top w:type="dxa" w:w="80"/>
              <w:left w:type="dxa" w:w="100"/>
              <w:bottom w:type="dxa" w:w="80"/>
              <w:right w:type="dxa" w:w="100"/>
            </w:tcMar>
          </w:tcPr>
          <w:p>
            <w:r>
              <w:rPr>
                <w:b/>
                <w:bCs/>
              </w:rPr>
              <w:t xml:space="preserve">Fragment #</w:t>
            </w:r>
          </w:p>
        </w:tc>
        <w:tc>
          <w:tcPr>
            <w:tcW w:type="dxa" w:w="2200"/>
            <w:shd w:fill="D9D9D9" w:val="clear"/>
            <w:tcMar>
              <w:top w:type="dxa" w:w="80"/>
              <w:left w:type="dxa" w:w="100"/>
              <w:bottom w:type="dxa" w:w="80"/>
              <w:right w:type="dxa" w:w="100"/>
            </w:tcMar>
          </w:tcPr>
          <w:p>
            <w:r>
              <w:rPr>
                <w:b/>
                <w:bCs/>
              </w:rPr>
              <w:t xml:space="preserve">Category</w:t>
            </w:r>
          </w:p>
        </w:tc>
        <w:tc>
          <w:tcPr>
            <w:tcW w:type="dxa" w:w="3000"/>
            <w:shd w:fill="D9D9D9" w:val="clear"/>
            <w:tcMar>
              <w:top w:type="dxa" w:w="80"/>
              <w:left w:type="dxa" w:w="100"/>
              <w:bottom w:type="dxa" w:w="80"/>
              <w:right w:type="dxa" w:w="100"/>
            </w:tcMar>
          </w:tcPr>
          <w:p>
            <w:r>
              <w:rPr>
                <w:b/>
                <w:bCs/>
              </w:rPr>
              <w:t xml:space="preserve">What it tells you</w:t>
            </w:r>
          </w:p>
        </w:tc>
        <w:tc>
          <w:tcPr>
            <w:tcW w:type="dxa" w:w="3060"/>
            <w:shd w:fill="D9D9D9" w:val="clear"/>
            <w:tcMar>
              <w:top w:type="dxa" w:w="80"/>
              <w:left w:type="dxa" w:w="100"/>
              <w:bottom w:type="dxa" w:w="80"/>
              <w:right w:type="dxa" w:w="100"/>
            </w:tcMar>
          </w:tcPr>
          <w:p>
            <w:r>
              <w:rPr>
                <w:b/>
                <w:bCs/>
              </w:rPr>
              <w:t xml:space="preserve">What it does NOT tell you</w:t>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r>
        <w:trPr>
          <w:trHeight w:val="900" w:hRule="atLeast"/>
        </w:trPr>
        <w:tc>
          <w:tcPr>
            <w:tcW w:type="dxa" w:w="900"/>
            <w:tcMar>
              <w:top w:type="dxa" w:w="80"/>
              <w:left w:type="dxa" w:w="100"/>
              <w:bottom w:type="dxa" w:w="80"/>
              <w:right w:type="dxa" w:w="100"/>
            </w:tcMar>
          </w:tcPr>
          <w:p>
            <w:r>
              <w:rPr>
                <w:b w:val="false"/>
                <w:bCs w:val="false"/>
              </w:rPr>
              <w:t xml:space="preserve"/>
            </w:r>
          </w:p>
        </w:tc>
        <w:tc>
          <w:tcPr>
            <w:tcW w:type="dxa" w:w="22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3060"/>
            <w:tcMar>
              <w:top w:type="dxa" w:w="80"/>
              <w:left w:type="dxa" w:w="100"/>
              <w:bottom w:type="dxa" w:w="80"/>
              <w:right w:type="dxa" w:w="100"/>
            </w:tcMar>
          </w:tcPr>
          <w:p>
            <w:r>
              <w:rPr>
                <w:b w:val="false"/>
                <w:bCs w:val="false"/>
              </w:rPr>
              <w:t xml:space="preserve"/>
            </w:r>
          </w:p>
        </w:tc>
      </w:tr>
    </w:tbl>
    <w:p>
      <w:pPr>
        <w:spacing w:after="110"/>
      </w:pPr>
      <w:r>
        <w:t xml:space="preserve"/>
      </w:r>
    </w:p>
    <w:p>
      <w:pPr>
        <w:pStyle w:val="Heading1"/>
        <w:spacing w:after="140" w:before="280"/>
      </w:pPr>
      <w:r>
        <w:t xml:space="preserve">Part 2 — Build the Timeline</w:t>
      </w:r>
    </w:p>
    <w:p>
      <w:pPr>
        <w:spacing w:after="110"/>
      </w:pPr>
      <w:r>
        <w:t xml:space="preserve">Using all ten fragments above, build the actual timeline together: normalize every timestamp to UTC, sort chronologically, assign a confidence level (High / Medium / Low) to each event, and identify at least one real gap in coverage. Then write the narrative you'd hand to the AUSA — grounded only in what's in your timeline.</w:t>
      </w:r>
    </w:p>
    <w:p>
      <w:pPr>
        <w:pStyle w:val="Heading3"/>
        <w:spacing w:after="80" w:before="160"/>
      </w:pPr>
      <w:r>
        <w:t xml:space="preserve">Step 1 — Normalize and sort</w:t>
      </w:r>
    </w:p>
    <w:p>
      <w:pPr>
        <w:spacing w:after="110"/>
      </w:pPr>
      <w:r>
        <w:t xml:space="preserve">For each fragment, write its original time (as given) and its converted UTC time. Then physically reorder them below in chronological order by UTC.</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360"/>
      </w:tblGrid>
      <w:tr>
        <w:trPr>
          <w:tblHeader/>
        </w:trPr>
        <w:tc>
          <w:tcPr>
            <w:tcW w:type="dxa" w:w="1200"/>
            <w:shd w:fill="D9D9D9" w:val="clear"/>
            <w:tcMar>
              <w:top w:type="dxa" w:w="80"/>
              <w:left w:type="dxa" w:w="100"/>
              <w:bottom w:type="dxa" w:w="80"/>
              <w:right w:type="dxa" w:w="100"/>
            </w:tcMar>
          </w:tcPr>
          <w:p>
            <w:r>
              <w:rPr>
                <w:b/>
                <w:bCs/>
              </w:rPr>
              <w:t xml:space="preserve">Fragment #</w:t>
            </w:r>
          </w:p>
        </w:tc>
        <w:tc>
          <w:tcPr>
            <w:tcW w:type="dxa" w:w="3600"/>
            <w:shd w:fill="D9D9D9" w:val="clear"/>
            <w:tcMar>
              <w:top w:type="dxa" w:w="80"/>
              <w:left w:type="dxa" w:w="100"/>
              <w:bottom w:type="dxa" w:w="80"/>
              <w:right w:type="dxa" w:w="100"/>
            </w:tcMar>
          </w:tcPr>
          <w:p>
            <w:r>
              <w:rPr>
                <w:b/>
                <w:bCs/>
              </w:rPr>
              <w:t xml:space="preserve">Original time (as given)</w:t>
            </w:r>
          </w:p>
        </w:tc>
        <w:tc>
          <w:tcPr>
            <w:tcW w:type="dxa" w:w="4360"/>
            <w:shd w:fill="D9D9D9" w:val="clear"/>
            <w:tcMar>
              <w:top w:type="dxa" w:w="80"/>
              <w:left w:type="dxa" w:w="100"/>
              <w:bottom w:type="dxa" w:w="80"/>
              <w:right w:type="dxa" w:w="100"/>
            </w:tcMar>
          </w:tcPr>
          <w:p>
            <w:r>
              <w:rPr>
                <w:b/>
                <w:bCs/>
              </w:rPr>
              <w:t xml:space="preserve">Converted to UTC</w:t>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r>
        <w:trPr>
          <w:trHeight w:val="700" w:hRule="atLeast"/>
        </w:trPr>
        <w:tc>
          <w:tcPr>
            <w:tcW w:type="dxa" w:w="1200"/>
            <w:tcMar>
              <w:top w:type="dxa" w:w="80"/>
              <w:left w:type="dxa" w:w="100"/>
              <w:bottom w:type="dxa" w:w="80"/>
              <w:right w:type="dxa" w:w="100"/>
            </w:tcMar>
          </w:tcPr>
          <w:p>
            <w:r>
              <w:rPr>
                <w:b w:val="false"/>
                <w:bCs w:val="false"/>
              </w:rPr>
              <w:t xml:space="preserve"/>
            </w:r>
          </w:p>
        </w:tc>
        <w:tc>
          <w:tcPr>
            <w:tcW w:type="dxa" w:w="3600"/>
            <w:tcMar>
              <w:top w:type="dxa" w:w="80"/>
              <w:left w:type="dxa" w:w="100"/>
              <w:bottom w:type="dxa" w:w="80"/>
              <w:right w:type="dxa" w:w="100"/>
            </w:tcMar>
          </w:tcPr>
          <w:p>
            <w:r>
              <w:rPr>
                <w:b w:val="false"/>
                <w:bCs w:val="false"/>
              </w:rPr>
              <w:t xml:space="preserve"/>
            </w:r>
          </w:p>
        </w:tc>
        <w:tc>
          <w:tcPr>
            <w:tcW w:type="dxa" w:w="4360"/>
            <w:tcMar>
              <w:top w:type="dxa" w:w="80"/>
              <w:left w:type="dxa" w:w="100"/>
              <w:bottom w:type="dxa" w:w="80"/>
              <w:right w:type="dxa" w:w="100"/>
            </w:tcMar>
          </w:tcPr>
          <w:p>
            <w:r>
              <w:rPr>
                <w:b w:val="false"/>
                <w:bCs w:val="false"/>
              </w:rPr>
              <w:t xml:space="preserve"/>
            </w:r>
          </w:p>
        </w:tc>
      </w:tr>
    </w:tbl>
    <w:p>
      <w:pPr>
        <w:spacing w:after="110"/>
      </w:pPr>
      <w:r>
        <w:t xml:space="preserve"/>
      </w:r>
    </w:p>
    <w:p>
      <w:pPr>
        <w:pStyle w:val="Heading3"/>
        <w:spacing w:after="80" w:before="160"/>
      </w:pPr>
      <w:r>
        <w:t xml:space="preserve">Step 2 — Confidence and the timeline itself</w:t>
      </w:r>
    </w:p>
    <w:p>
      <w:pPr>
        <w:spacing w:after="110"/>
      </w:pPr>
      <w:r>
        <w:t xml:space="preserve">Now lay out the full timeline in chronological order with confidence and notes. Add a row wherever you identify a gap.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1500"/>
        <w:gridCol w:w="2160"/>
      </w:tblGrid>
      <w:tr>
        <w:trPr>
          <w:tblHeader/>
        </w:trPr>
        <w:tc>
          <w:tcPr>
            <w:tcW w:type="dxa" w:w="700"/>
            <w:shd w:fill="D9D9D9" w:val="clear"/>
            <w:tcMar>
              <w:top w:type="dxa" w:w="80"/>
              <w:left w:type="dxa" w:w="100"/>
              <w:bottom w:type="dxa" w:w="80"/>
              <w:right w:type="dxa" w:w="100"/>
            </w:tcMar>
          </w:tcPr>
          <w:p>
            <w:r>
              <w:rPr>
                <w:b/>
                <w:bCs/>
              </w:rPr>
              <w:t xml:space="preserve">Order</w:t>
            </w:r>
          </w:p>
        </w:tc>
        <w:tc>
          <w:tcPr>
            <w:tcW w:type="dxa" w:w="1800"/>
            <w:shd w:fill="D9D9D9" w:val="clear"/>
            <w:tcMar>
              <w:top w:type="dxa" w:w="80"/>
              <w:left w:type="dxa" w:w="100"/>
              <w:bottom w:type="dxa" w:w="80"/>
              <w:right w:type="dxa" w:w="100"/>
            </w:tcMar>
          </w:tcPr>
          <w:p>
            <w:r>
              <w:rPr>
                <w:b/>
                <w:bCs/>
              </w:rPr>
              <w:t xml:space="preserve">UTC time</w:t>
            </w:r>
          </w:p>
        </w:tc>
        <w:tc>
          <w:tcPr>
            <w:tcW w:type="dxa" w:w="3000"/>
            <w:shd w:fill="D9D9D9" w:val="clear"/>
            <w:tcMar>
              <w:top w:type="dxa" w:w="80"/>
              <w:left w:type="dxa" w:w="100"/>
              <w:bottom w:type="dxa" w:w="80"/>
              <w:right w:type="dxa" w:w="100"/>
            </w:tcMar>
          </w:tcPr>
          <w:p>
            <w:r>
              <w:rPr>
                <w:b/>
                <w:bCs/>
              </w:rPr>
              <w:t xml:space="preserve">Fact</w:t>
            </w:r>
          </w:p>
        </w:tc>
        <w:tc>
          <w:tcPr>
            <w:tcW w:type="dxa" w:w="1500"/>
            <w:shd w:fill="D9D9D9" w:val="clear"/>
            <w:tcMar>
              <w:top w:type="dxa" w:w="80"/>
              <w:left w:type="dxa" w:w="100"/>
              <w:bottom w:type="dxa" w:w="80"/>
              <w:right w:type="dxa" w:w="100"/>
            </w:tcMar>
          </w:tcPr>
          <w:p>
            <w:r>
              <w:rPr>
                <w:b/>
                <w:bCs/>
              </w:rPr>
              <w:t xml:space="preserve">Confidence (H/M/L)</w:t>
            </w:r>
          </w:p>
        </w:tc>
        <w:tc>
          <w:tcPr>
            <w:tcW w:type="dxa" w:w="2160"/>
            <w:shd w:fill="D9D9D9" w:val="clear"/>
            <w:tcMar>
              <w:top w:type="dxa" w:w="80"/>
              <w:left w:type="dxa" w:w="100"/>
              <w:bottom w:type="dxa" w:w="80"/>
              <w:right w:type="dxa" w:w="100"/>
            </w:tcMar>
          </w:tcPr>
          <w:p>
            <w:r>
              <w:rPr>
                <w:b/>
                <w:bCs/>
              </w:rPr>
              <w:t xml:space="preserve">Notes / gap?</w:t>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r>
        <w:trPr>
          <w:trHeight w:val="900" w:hRule="atLeast"/>
        </w:trPr>
        <w:tc>
          <w:tcPr>
            <w:tcW w:type="dxa" w:w="700"/>
            <w:tcMar>
              <w:top w:type="dxa" w:w="80"/>
              <w:left w:type="dxa" w:w="100"/>
              <w:bottom w:type="dxa" w:w="80"/>
              <w:right w:type="dxa" w:w="100"/>
            </w:tcMar>
          </w:tcPr>
          <w:p>
            <w:r>
              <w:rPr>
                <w:b w:val="false"/>
                <w:bCs w:val="false"/>
              </w:rPr>
              <w:t xml:space="preserve"/>
            </w:r>
          </w:p>
        </w:tc>
        <w:tc>
          <w:tcPr>
            <w:tcW w:type="dxa" w:w="1800"/>
            <w:tcMar>
              <w:top w:type="dxa" w:w="80"/>
              <w:left w:type="dxa" w:w="100"/>
              <w:bottom w:type="dxa" w:w="80"/>
              <w:right w:type="dxa" w:w="100"/>
            </w:tcMar>
          </w:tcPr>
          <w:p>
            <w:r>
              <w:rPr>
                <w:b w:val="false"/>
                <w:bCs w:val="false"/>
              </w:rPr>
              <w:t xml:space="preserve"/>
            </w:r>
          </w:p>
        </w:tc>
        <w:tc>
          <w:tcPr>
            <w:tcW w:type="dxa" w:w="3000"/>
            <w:tcMar>
              <w:top w:type="dxa" w:w="80"/>
              <w:left w:type="dxa" w:w="100"/>
              <w:bottom w:type="dxa" w:w="80"/>
              <w:right w:type="dxa" w:w="100"/>
            </w:tcMar>
          </w:tcPr>
          <w:p>
            <w:r>
              <w:rPr>
                <w:b w:val="false"/>
                <w:bCs w:val="false"/>
              </w:rPr>
              <w:t xml:space="preserve"/>
            </w:r>
          </w:p>
        </w:tc>
        <w:tc>
          <w:tcPr>
            <w:tcW w:type="dxa" w:w="1500"/>
            <w:tcMar>
              <w:top w:type="dxa" w:w="80"/>
              <w:left w:type="dxa" w:w="100"/>
              <w:bottom w:type="dxa" w:w="80"/>
              <w:right w:type="dxa" w:w="100"/>
            </w:tcMar>
          </w:tcPr>
          <w:p>
            <w:r>
              <w:rPr>
                <w:b w:val="false"/>
                <w:bCs w:val="false"/>
              </w:rPr>
              <w:t xml:space="preserve"/>
            </w:r>
          </w:p>
        </w:tc>
        <w:tc>
          <w:tcPr>
            <w:tcW w:type="dxa" w:w="2160"/>
            <w:tcMar>
              <w:top w:type="dxa" w:w="80"/>
              <w:left w:type="dxa" w:w="100"/>
              <w:bottom w:type="dxa" w:w="80"/>
              <w:right w:type="dxa" w:w="100"/>
            </w:tcMar>
          </w:tcPr>
          <w:p>
            <w:r>
              <w:rPr>
                <w:b w:val="false"/>
                <w:bCs w:val="false"/>
              </w:rPr>
              <w:t xml:space="preserve"/>
            </w:r>
          </w:p>
        </w:tc>
      </w:tr>
    </w:tbl>
    <w:p>
      <w:pPr>
        <w:spacing w:after="110"/>
      </w:pPr>
      <w:r>
        <w:t xml:space="preserve"/>
      </w:r>
    </w:p>
    <w:p>
      <w:pPr>
        <w:pStyle w:val="Heading3"/>
        <w:spacing w:after="80" w:before="160"/>
      </w:pPr>
      <w:r>
        <w:t xml:space="preserve">Step 3 — Write the narrative</w:t>
      </w:r>
    </w:p>
    <w:p>
      <w:pPr>
        <w:spacing w:after="110"/>
      </w:pPr>
      <w:r>
        <w:t xml:space="preserve">Four to six sentences, grounded only in the timeline above. Every claim should be traceable to a specific fragment.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1"/>
        <w:spacing w:after="140" w:before="280"/>
      </w:pPr>
      <w:r>
        <w:t xml:space="preserve">Part 3 — Scene Management</w:t>
      </w:r>
    </w:p>
    <w:p>
      <w:pPr>
        <w:spacing w:after="110"/>
      </w:pPr>
      <w:r>
        <w:t xml:space="preserve">Sable Ridge Financial Advisors, a wealth-management firm, reported anomalous activity on its file server. Your squad arrives on scene at the firm's office suite. The file server, SRV-DATA1, is powered on and its console shows an active remote session already logged in. Two people are present: the office manager, and a part-time IT contractor who was called in an hour ago. The office manager says the server room was locked when she left last night and locked again this morning. The contractor says he found the server room door unlocked when he arrived.</w:t>
      </w:r>
    </w:p>
    <w:p>
      <w:pPr>
        <w:pStyle w:val="Heading3"/>
        <w:spacing w:after="80" w:before="160"/>
      </w:pPr>
      <w:r>
        <w:t xml:space="preserve">3a — The first decision</w:t>
      </w:r>
    </w:p>
    <w:p>
      <w:pPr>
        <w:spacing w:after="110"/>
      </w:pPr>
      <w:r>
        <w:t xml:space="preserve">What is your squad's very first action once scene security is confirmed, and why? Be specific about what you risk losing on SRV-DATA1 if you don't do this first.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3b — Sequencing</w:t>
      </w:r>
    </w:p>
    <w:p>
      <w:pPr>
        <w:spacing w:after="110"/>
      </w:pPr>
      <w:r>
        <w:t xml:space="preserve">Below are the eight scene-checklist actions, listed out of order and reworded. Renumber them 1–8 in the correct sequence. Then, for three of the transitions (e.g., “why does step 2 have to come before step 3”), write one sentence justifying the order.</w:t>
      </w:r>
    </w:p>
    <w:p>
      <w:pPr>
        <w:spacing w:after="110"/>
      </w:pPr>
      <w:r>
        <w:t xml:space="preserve">___  Acquire stable evidence — disk imaging, documents, physical media</w:t>
      </w:r>
    </w:p>
    <w:p>
      <w:pPr>
        <w:spacing w:after="110"/>
      </w:pPr>
      <w:r>
        <w:t xml:space="preserve">___  Establish a photographic baseline of the scene before anything is moved</w:t>
      </w:r>
    </w:p>
    <w:p>
      <w:pPr>
        <w:spacing w:after="110"/>
      </w:pPr>
      <w:r>
        <w:t xml:space="preserve">___  Communicate to your squad — periodic check-ins</w:t>
      </w:r>
    </w:p>
    <w:p>
      <w:pPr>
        <w:spacing w:after="110"/>
      </w:pPr>
      <w:r>
        <w:t xml:space="preserve">___  Confirm scene security and authority to be there</w:t>
      </w:r>
    </w:p>
    <w:p>
      <w:pPr>
        <w:spacing w:after="110"/>
      </w:pPr>
      <w:r>
        <w:t xml:space="preserve">___  Acquire volatile evidence — memory, active sessions, anything that disappears at power-down</w:t>
      </w:r>
    </w:p>
    <w:p>
      <w:pPr>
        <w:spacing w:after="110"/>
      </w:pPr>
      <w:r>
        <w:t xml:space="preserve">___  Begin chain-of-custody documentation, starting with the first item</w:t>
      </w:r>
    </w:p>
    <w:p>
      <w:pPr>
        <w:spacing w:after="110"/>
      </w:pPr>
      <w:r>
        <w:t xml:space="preserve">___  Conduct any required witness interaction — a brief triage, not a full interview</w:t>
      </w:r>
    </w:p>
    <w:p>
      <w:pPr>
        <w:spacing w:after="110"/>
      </w:pPr>
      <w:r>
        <w:t xml:space="preserve">___  Identify volatile evidence at risk and decide capture order</w:t>
      </w:r>
    </w:p>
    <w:p>
      <w:pPr>
        <w:spacing w:after="110"/>
      </w:pPr>
      <w:r>
        <w:rPr>
          <w:b/>
          <w:bCs/>
        </w:rPr>
        <w:t xml:space="preserve">Justify three transitions of your choice:</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3c — The witness conflict</w:t>
      </w:r>
    </w:p>
    <w:p>
      <w:pPr>
        <w:spacing w:after="110"/>
      </w:pPr>
      <w:r>
        <w:t xml:space="preserve">The office manager and the IT contractor disagree about whether the server room was locked overnight. How do you document this in your notes, and what do you specifically avoid doing?</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1"/>
        <w:spacing w:after="140" w:before="280"/>
      </w:pPr>
      <w:r>
        <w:t xml:space="preserve">Squad synthesis</w:t>
      </w:r>
    </w:p>
    <w:p>
      <w:pPr>
        <w:pStyle w:val="ListParagraph"/>
        <w:numPr>
          <w:ilvl w:val="0"/>
          <w:numId w:val="1"/>
        </w:numPr>
        <w:spacing w:after="60"/>
      </w:pPr>
      <w:r>
        <w:t xml:space="preserve">Which part of this exercise did your squad disagree about internally, and how did you resolve it?</w:t>
      </w:r>
    </w:p>
    <w:p>
      <w:pPr>
        <w:pStyle w:val="ListParagraph"/>
        <w:numPr>
          <w:ilvl w:val="0"/>
          <w:numId w:val="1"/>
        </w:numPr>
        <w:spacing w:after="60"/>
      </w:pPr>
      <w:r>
        <w:t xml:space="preserve">If you had to defend your timeline's gap (Part 2) to a defense attorney who says you're hiding something, what would you say?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Squad Packet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2026-09-22T14:25:50.257Z</dcterms:created>
  <dcterms:modified xsi:type="dcterms:W3CDTF">2026-09-22T14:25:50.266Z</dcterms:modified>
</cp:coreProperties>
</file>

<file path=docProps/custom.xml><?xml version="1.0" encoding="utf-8"?>
<Properties xmlns="http://schemas.openxmlformats.org/officeDocument/2006/custom-properties" xmlns:vt="http://schemas.openxmlformats.org/officeDocument/2006/docPropsVTypes"/>
</file>