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6178"/>
          <w:sz w:val="20"/>
          <w:szCs w:val="20"/>
        </w:rPr>
        <w:t xml:space="preserve">FBI CYBER INTRUSION INVESTIGATION COURSE — DAY 4, 1030 WORKSHOP</w:t>
      </w:r>
    </w:p>
    <w:p>
      <w:pPr>
        <w:spacing w:after="60"/>
        <w:jc w:val="center"/>
      </w:pPr>
      <w:r>
        <w:rPr>
          <w:b/>
          <w:bCs/>
          <w:sz w:val="32"/>
          <w:szCs w:val="32"/>
        </w:rPr>
        <w:t xml:space="preserve">Attribution Workshop</w:t>
      </w:r>
    </w:p>
    <w:p>
      <w:pPr>
        <w:spacing w:after="220"/>
        <w:jc w:val="center"/>
      </w:pPr>
      <w:r>
        <w:rPr>
          <w:i/>
          <w:iCs/>
          <w:sz w:val="20"/>
          <w:szCs w:val="20"/>
        </w:rPr>
        <w:t xml:space="preserve">Facilitator Guide — From Evidence to Actor</w:t>
      </w:r>
    </w:p>
    <w:p>
      <w:pPr>
        <w:spacing w:after="200"/>
        <w:jc w:val="center"/>
      </w:pPr>
      <w:r>
        <w:rPr>
          <w:b/>
          <w:bCs/>
          <w:color w:val="B00000"/>
        </w:rPr>
        <w:t xml:space="preserve">UNCLASSIFIED — Instructor use only — do not distribute to students</w:t>
      </w:r>
    </w:p>
    <w:p>
      <w:pPr>
        <w:pStyle w:val="Heading2"/>
        <w:spacing w:after="110" w:before="220"/>
      </w:pPr>
      <w:r>
        <w:t xml:space="preserve">How this fits</w:t>
      </w:r>
    </w:p>
    <w:p>
      <w:pPr>
        <w:spacing w:after="110"/>
      </w:pPr>
      <w:r>
        <w:t xml:space="preserve">The lesson plan's 1030 workshop calls for squad-level attribution analysis on Operation BROKERED EXIT. This version deliberately uses a different, real, fully public case instead — the May 2024 unmasking of “LockBitSupp” as Dmitry Khoroshev — so the exercise reinforces the lecture's skills (graded judgment, the five evidence-category structure from Section 6.4, confidence language, and the intelligence-vs-evidence distinction) without depending on BROKERED EXIT case materials this packet doesn't assume you have on hand. If you want this run directly against BROKERED EXIT instead, the five-category structure and confidence-language requirements below carry over unchanged — swap in your own case facts.</w:t>
      </w:r>
    </w:p>
    <w:p>
      <w:pPr>
        <w:pBdr>
          <w:top w:val="single" w:color="999999" w:sz="4"/>
          <w:bottom w:val="single" w:color="999999" w:sz="4"/>
          <w:left w:val="single" w:color="999999" w:sz="4"/>
          <w:right w:val="single" w:color="999999" w:sz="4"/>
        </w:pBdr>
        <w:shd w:fill="F2F2F2" w:val="clear"/>
        <w:spacing w:after="200" w:before="120"/>
      </w:pPr>
      <w:r>
        <w:rPr>
          <w:b/>
          <w:bCs/>
        </w:rPr>
        <w:t xml:space="preserve">INSTRUCTOR NOTE: </w:t>
      </w:r>
      <w:r>
        <w:t xml:space="preserve">This case was chosen specifically because its public record maps cleanly onto the lecture's five whiteboard categories (persona identity, infrastructure, customer/affiliate relationships, real-world identity, foreign partner threads) without needing any invented detail. Every fact in the student packet is sourced; nowhere does it state an investigative method that isn't public.</w:t>
      </w:r>
    </w:p>
    <w:p>
      <w:pPr>
        <w:pStyle w:val="Heading2"/>
        <w:spacing w:after="110" w:before="220"/>
      </w:pPr>
      <w:r>
        <w:t xml:space="preserve">Timing (suggested 75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D9D9D9" w:val="clear"/>
            <w:tcMar>
              <w:top w:type="dxa" w:w="80"/>
              <w:left w:type="dxa" w:w="100"/>
              <w:bottom w:type="dxa" w:w="80"/>
              <w:right w:type="dxa" w:w="100"/>
            </w:tcMar>
          </w:tcPr>
          <w:p>
            <w:r>
              <w:rPr>
                <w:b/>
                <w:bCs/>
              </w:rPr>
              <w:t xml:space="preserve">Time</w:t>
            </w:r>
          </w:p>
        </w:tc>
        <w:tc>
          <w:tcPr>
            <w:tcW w:type="dxa" w:w="7560"/>
            <w:shd w:fill="D9D9D9" w:val="clear"/>
            <w:tcMar>
              <w:top w:type="dxa" w:w="80"/>
              <w:left w:type="dxa" w:w="100"/>
              <w:bottom w:type="dxa" w:w="80"/>
              <w:right w:type="dxa" w:w="100"/>
            </w:tcMar>
          </w:tcPr>
          <w:p>
            <w:r>
              <w:rPr>
                <w:b/>
                <w:bCs/>
              </w:rPr>
              <w:t xml:space="preserve">Block</w:t>
            </w:r>
          </w:p>
        </w:tc>
      </w:tr>
      <w:tr>
        <w:tc>
          <w:tcPr>
            <w:tcW w:type="dxa" w:w="1800"/>
            <w:tcMar>
              <w:top w:type="dxa" w:w="80"/>
              <w:left w:type="dxa" w:w="100"/>
              <w:bottom w:type="dxa" w:w="80"/>
              <w:right w:type="dxa" w:w="100"/>
            </w:tcMar>
          </w:tcPr>
          <w:p>
            <w:r>
              <w:rPr>
                <w:b w:val="false"/>
                <w:bCs w:val="false"/>
              </w:rPr>
              <w:t xml:space="preserve">0:00–0:05</w:t>
            </w:r>
          </w:p>
        </w:tc>
        <w:tc>
          <w:tcPr>
            <w:tcW w:type="dxa" w:w="7560"/>
            <w:tcMar>
              <w:top w:type="dxa" w:w="80"/>
              <w:left w:type="dxa" w:w="100"/>
              <w:bottom w:type="dxa" w:w="80"/>
              <w:right w:type="dxa" w:w="100"/>
            </w:tcMar>
          </w:tcPr>
          <w:p>
            <w:r>
              <w:rPr>
                <w:b w:val="false"/>
                <w:bCs w:val="false"/>
              </w:rPr>
              <w:t xml:space="preserve">Frame the workshop; confirm squads have the packet</w:t>
            </w:r>
          </w:p>
        </w:tc>
      </w:tr>
      <w:tr>
        <w:tc>
          <w:tcPr>
            <w:tcW w:type="dxa" w:w="1800"/>
            <w:tcMar>
              <w:top w:type="dxa" w:w="80"/>
              <w:left w:type="dxa" w:w="100"/>
              <w:bottom w:type="dxa" w:w="80"/>
              <w:right w:type="dxa" w:w="100"/>
            </w:tcMar>
          </w:tcPr>
          <w:p>
            <w:r>
              <w:rPr>
                <w:b w:val="false"/>
                <w:bCs w:val="false"/>
              </w:rPr>
              <w:t xml:space="preserve">0:05–0:45</w:t>
            </w:r>
          </w:p>
        </w:tc>
        <w:tc>
          <w:tcPr>
            <w:tcW w:type="dxa" w:w="7560"/>
            <w:tcMar>
              <w:top w:type="dxa" w:w="80"/>
              <w:left w:type="dxa" w:w="100"/>
              <w:bottom w:type="dxa" w:w="80"/>
              <w:right w:type="dxa" w:w="100"/>
            </w:tcMar>
          </w:tcPr>
          <w:p>
            <w:r>
              <w:rPr>
                <w:b w:val="false"/>
                <w:bCs w:val="false"/>
              </w:rPr>
              <w:t xml:space="preserve">Squad work through all five categories (~8 minutes each)</w:t>
            </w:r>
          </w:p>
        </w:tc>
      </w:tr>
      <w:tr>
        <w:tc>
          <w:tcPr>
            <w:tcW w:type="dxa" w:w="1800"/>
            <w:tcMar>
              <w:top w:type="dxa" w:w="80"/>
              <w:left w:type="dxa" w:w="100"/>
              <w:bottom w:type="dxa" w:w="80"/>
              <w:right w:type="dxa" w:w="100"/>
            </w:tcMar>
          </w:tcPr>
          <w:p>
            <w:r>
              <w:rPr>
                <w:b w:val="false"/>
                <w:bCs w:val="false"/>
              </w:rPr>
              <w:t xml:space="preserve">0:45–1:00</w:t>
            </w:r>
          </w:p>
        </w:tc>
        <w:tc>
          <w:tcPr>
            <w:tcW w:type="dxa" w:w="7560"/>
            <w:tcMar>
              <w:top w:type="dxa" w:w="80"/>
              <w:left w:type="dxa" w:w="100"/>
              <w:bottom w:type="dxa" w:w="80"/>
              <w:right w:type="dxa" w:w="100"/>
            </w:tcMar>
          </w:tcPr>
          <w:p>
            <w:r>
              <w:rPr>
                <w:b w:val="false"/>
                <w:bCs w:val="false"/>
              </w:rPr>
              <w:t xml:space="preserve">Final calibrated statements</w:t>
            </w:r>
          </w:p>
        </w:tc>
      </w:tr>
      <w:tr>
        <w:tc>
          <w:tcPr>
            <w:tcW w:type="dxa" w:w="1800"/>
            <w:tcMar>
              <w:top w:type="dxa" w:w="80"/>
              <w:left w:type="dxa" w:w="100"/>
              <w:bottom w:type="dxa" w:w="80"/>
              <w:right w:type="dxa" w:w="100"/>
            </w:tcMar>
          </w:tcPr>
          <w:p>
            <w:r>
              <w:rPr>
                <w:b w:val="false"/>
                <w:bCs w:val="false"/>
              </w:rPr>
              <w:t xml:space="preserve">1:00–1:15</w:t>
            </w:r>
          </w:p>
        </w:tc>
        <w:tc>
          <w:tcPr>
            <w:tcW w:type="dxa" w:w="7560"/>
            <w:tcMar>
              <w:top w:type="dxa" w:w="80"/>
              <w:left w:type="dxa" w:w="100"/>
              <w:bottom w:type="dxa" w:w="80"/>
              <w:right w:type="dxa" w:w="100"/>
            </w:tcMar>
          </w:tcPr>
          <w:p>
            <w:r>
              <w:rPr>
                <w:b w:val="false"/>
                <w:bCs w:val="false"/>
              </w:rPr>
              <w:t xml:space="preserve">Report out (assign 1 category per squad) and squad synthesis discussion</w:t>
            </w:r>
          </w:p>
        </w:tc>
      </w:tr>
    </w:tbl>
    <w:p>
      <w:pPr>
        <w:spacing w:after="110"/>
      </w:pPr>
      <w:r>
        <w:t xml:space="preserve"/>
      </w:r>
    </w:p>
    <w:p>
      <w:pPr>
        <w:pStyle w:val="Heading2"/>
        <w:spacing w:after="110" w:before="220"/>
      </w:pPr>
      <w:r>
        <w:t xml:space="preserve">Grading philosophy</w:t>
      </w:r>
    </w:p>
    <w:p>
      <w:pPr>
        <w:spacing w:after="110"/>
      </w:pPr>
      <w:r>
        <w:t xml:space="preserve">Grade against the ‘must include’ list per category, not against the model answer's exact wording. The model answers demonstrate the lecture's confidence-language format correctly applied — a squad that reaches a different confidence level with sound, stated reasoning should not be marked wrong for disagreeing with the model, only for failing to state a level, a basis, or a gap. The quick-check MC/FITB items are comprehension checks, not synthesis — grade those for correctness.</w:t>
      </w:r>
    </w:p>
    <w:p>
      <w:pPr>
        <w:pStyle w:val="Heading1"/>
        <w:spacing w:after="140" w:before="280"/>
      </w:pPr>
      <w:r>
        <w:t xml:space="preserve">Framework quick check — answer key</w:t>
      </w:r>
    </w:p>
    <w:p>
      <w:pPr>
        <w:spacing w:after="110"/>
      </w:pPr>
      <w:r>
        <w:rPr>
          <w:b/>
          <w:bCs/>
        </w:rPr>
        <w:t xml:space="preserve">1. Per the lecture's framework, what must always accompany a stated confidence level?</w:t>
      </w:r>
    </w:p>
    <w:p>
      <w:pPr>
        <w:spacing w:after="40"/>
        <w:ind w:left="360"/>
      </w:pPr>
      <w:r>
        <w:rPr>
          <w:b w:val="false"/>
          <w:bCs w:val="false"/>
          <w:color w:val="000000"/>
        </w:rPr>
        <w:t xml:space="preserve">A. A dollar figure</w:t>
      </w:r>
    </w:p>
    <w:p>
      <w:pPr>
        <w:spacing w:after="40"/>
        <w:ind w:left="360"/>
      </w:pPr>
      <w:r>
        <w:rPr>
          <w:b/>
          <w:bCs/>
          <w:color w:val="1E7A34"/>
        </w:rPr>
        <w:t xml:space="preserve">B. The documented basis for that confidence</w:t>
      </w:r>
    </w:p>
    <w:p>
      <w:pPr>
        <w:spacing w:after="40"/>
        <w:ind w:left="360"/>
      </w:pPr>
      <w:r>
        <w:rPr>
          <w:b w:val="false"/>
          <w:bCs w:val="false"/>
          <w:color w:val="000000"/>
        </w:rPr>
        <w:t xml:space="preserve">C. A classification marking</w:t>
      </w:r>
    </w:p>
    <w:p>
      <w:pPr>
        <w:spacing w:after="40"/>
        <w:ind w:left="360"/>
      </w:pPr>
      <w:r>
        <w:rPr>
          <w:b w:val="false"/>
          <w:bCs w:val="false"/>
          <w:color w:val="000000"/>
        </w:rPr>
        <w:t xml:space="preserve">D. Nothing else is needed</w:t>
      </w:r>
    </w:p>
    <w:p>
      <w:pPr>
        <w:spacing w:after="110"/>
      </w:pPr>
      <w:r>
        <w:rPr>
          <w:b/>
          <w:bCs/>
          <w:color w:val="1E7A34"/>
        </w:rPr>
        <w:t xml:space="preserve">Answer: B</w:t>
      </w:r>
    </w:p>
    <w:p>
      <w:pPr>
        <w:spacing w:after="110"/>
      </w:pPr>
      <w:r>
        <w:t xml:space="preserve"/>
      </w:r>
    </w:p>
    <w:p>
      <w:pPr>
        <w:spacing w:after="110"/>
      </w:pPr>
      <w:r>
        <w:rPr>
          <w:b/>
          <w:bCs/>
        </w:rPr>
        <w:t xml:space="preserve">2. What's wrong with briefing a supervisor that “it's probably them”?</w:t>
      </w:r>
    </w:p>
    <w:p>
      <w:pPr>
        <w:spacing w:after="40"/>
        <w:ind w:left="360"/>
      </w:pPr>
      <w:r>
        <w:rPr>
          <w:b w:val="false"/>
          <w:bCs w:val="false"/>
          <w:color w:val="000000"/>
        </w:rPr>
        <w:t xml:space="preserve">A. Nothing — it's a fine way to brief</w:t>
      </w:r>
    </w:p>
    <w:p>
      <w:pPr>
        <w:spacing w:after="40"/>
        <w:ind w:left="360"/>
      </w:pPr>
      <w:r>
        <w:rPr>
          <w:b/>
          <w:bCs/>
          <w:color w:val="1E7A34"/>
        </w:rPr>
        <w:t xml:space="preserve">B. It uses unanchored probabilistic language that different listeners interpret differently</w:t>
      </w:r>
    </w:p>
    <w:p>
      <w:pPr>
        <w:spacing w:after="40"/>
        <w:ind w:left="360"/>
      </w:pPr>
      <w:r>
        <w:rPr>
          <w:b w:val="false"/>
          <w:bCs w:val="false"/>
          <w:color w:val="000000"/>
        </w:rPr>
        <w:t xml:space="preserve">C. It's overconfident</w:t>
      </w:r>
    </w:p>
    <w:p>
      <w:pPr>
        <w:spacing w:after="40"/>
        <w:ind w:left="360"/>
      </w:pPr>
      <w:r>
        <w:rPr>
          <w:b w:val="false"/>
          <w:bCs w:val="false"/>
          <w:color w:val="000000"/>
        </w:rPr>
        <w:t xml:space="preserve">D. It needs to be classified</w:t>
      </w:r>
    </w:p>
    <w:p>
      <w:pPr>
        <w:spacing w:after="110"/>
      </w:pPr>
      <w:r>
        <w:rPr>
          <w:b/>
          <w:bCs/>
          <w:color w:val="1E7A34"/>
        </w:rPr>
        <w:t xml:space="preserve">Answer: B</w:t>
      </w:r>
    </w:p>
    <w:p>
      <w:pPr>
        <w:spacing w:after="110"/>
      </w:pPr>
      <w:r>
        <w:t xml:space="preserve"/>
      </w:r>
    </w:p>
    <w:p>
      <w:pPr>
        <w:spacing w:after="110"/>
      </w:pPr>
      <w:r>
        <w:rPr>
          <w:b/>
          <w:bCs/>
        </w:rPr>
        <w:t xml:space="preserve">3. Information sourced from sensitive collection that may not be disclosable, and cannot directly support charging without re-derivation, is called ______-quality information.</w:t>
      </w:r>
    </w:p>
    <w:p>
      <w:pPr>
        <w:spacing w:after="110"/>
      </w:pPr>
      <w:r>
        <w:rPr>
          <w:b/>
          <w:bCs/>
          <w:color w:val="1E7A34"/>
        </w:rPr>
        <w:t xml:space="preserve">Answer: intelligence</w:t>
      </w:r>
    </w:p>
    <w:p>
      <w:pPr>
        <w:spacing w:after="110"/>
      </w:pPr>
      <w:r>
        <w:t xml:space="preserve"/>
      </w:r>
    </w:p>
    <w:p>
      <w:pPr>
        <w:spacing w:after="110"/>
      </w:pPr>
      <w:r>
        <w:rPr>
          <w:b/>
          <w:bCs/>
        </w:rPr>
        <w:t xml:space="preserve">4. Building a separate, lawful evidentiary record for facts originally surfaced through other means is called ______ ______.</w:t>
      </w:r>
    </w:p>
    <w:p>
      <w:pPr>
        <w:spacing w:after="110"/>
      </w:pPr>
      <w:r>
        <w:rPr>
          <w:b/>
          <w:bCs/>
          <w:color w:val="1E7A34"/>
        </w:rPr>
        <w:t xml:space="preserve">Answer: parallel construction</w:t>
      </w:r>
    </w:p>
    <w:p>
      <w:pPr>
        <w:spacing w:after="110"/>
      </w:pPr>
      <w:r>
        <w:t xml:space="preserve"/>
      </w:r>
    </w:p>
    <w:p>
      <w:pPr>
        <w:pStyle w:val="Heading1"/>
        <w:spacing w:after="140" w:before="280"/>
      </w:pPr>
      <w:r>
        <w:t xml:space="preserve">Category answer key</w:t>
      </w:r>
    </w:p>
    <w:p>
      <w:pPr>
        <w:pStyle w:val="Heading3"/>
        <w:spacing w:after="80" w:before="160"/>
      </w:pPr>
      <w:r>
        <w:t xml:space="preserve">Category 1 — Persona / forum identity</w:t>
      </w:r>
    </w:p>
    <w:p>
      <w:pPr>
        <w:spacing w:after="110"/>
      </w:pPr>
      <w:r>
        <w:rPr>
          <w:i/>
          <w:iCs/>
        </w:rPr>
        <w:t xml:space="preserve">The indictment names Khoroshev as “also known as LockBitSupp, LockBit, and putinkrab.”</w:t>
      </w:r>
    </w:p>
    <w:p>
      <w:pPr>
        <w:spacing w:after="110"/>
      </w:pPr>
      <w:r>
        <w:rPr>
          <w:i/>
          <w:iCs/>
        </w:rPr>
        <w:t xml:space="preserve">U.S. Attorney Philip Sellinger, at the announcement: Khoroshev “thought he could [operate] hidden by his notorious moniker ‘LockBitSupp,’ anonymous and free of any consequence.”</w:t>
      </w:r>
    </w:p>
    <w:p>
      <w:pPr>
        <w:spacing w:after="110"/>
      </w:pPr>
      <w:r>
        <w:rPr>
          <w:i/>
          <w:iCs/>
        </w:rPr>
        <w:t xml:space="preserve">LockBitSupp had a long public track record as LockBit's spokesperson — negotiating with victims, posting on forums, and publicly taunting law enforcement — all under the persona, never under a real name.</w:t>
      </w:r>
    </w:p>
    <w:p>
      <w:pPr>
        <w:spacing w:after="110"/>
      </w:pPr>
      <w:r>
        <w:rPr>
          <w:b/>
          <w:bCs/>
        </w:rPr>
        <w:t xml:space="preserve">Quick check — answer key:</w:t>
      </w:r>
    </w:p>
    <w:p>
      <w:pPr>
        <w:spacing w:after="110"/>
      </w:pPr>
      <w:r>
        <w:rPr>
          <w:b/>
          <w:bCs/>
        </w:rPr>
        <w:t xml:space="preserve">1. What aliases does the indictment name together with LockBitSupp?</w:t>
      </w:r>
    </w:p>
    <w:p>
      <w:pPr>
        <w:spacing w:after="40"/>
        <w:ind w:left="360"/>
      </w:pPr>
      <w:r>
        <w:rPr>
          <w:b/>
          <w:bCs/>
          <w:color w:val="1E7A34"/>
        </w:rPr>
        <w:t xml:space="preserve">A. putinkrab and LockBit</w:t>
      </w:r>
    </w:p>
    <w:p>
      <w:pPr>
        <w:spacing w:after="40"/>
        <w:ind w:left="360"/>
      </w:pPr>
      <w:r>
        <w:rPr>
          <w:b w:val="false"/>
          <w:bCs w:val="false"/>
          <w:color w:val="000000"/>
        </w:rPr>
        <w:t xml:space="preserve">B. DarkSide and REvil</w:t>
      </w:r>
    </w:p>
    <w:p>
      <w:pPr>
        <w:spacing w:after="40"/>
        <w:ind w:left="360"/>
      </w:pPr>
      <w:r>
        <w:rPr>
          <w:b w:val="false"/>
          <w:bCs w:val="false"/>
          <w:color w:val="000000"/>
        </w:rPr>
        <w:t xml:space="preserve">C. Conti and Ryuk</w:t>
      </w:r>
    </w:p>
    <w:p>
      <w:pPr>
        <w:spacing w:after="40"/>
        <w:ind w:left="360"/>
      </w:pPr>
      <w:r>
        <w:rPr>
          <w:b w:val="false"/>
          <w:bCs w:val="false"/>
          <w:color w:val="000000"/>
        </w:rPr>
        <w:t xml:space="preserve">D. No other aliases are named</w:t>
      </w:r>
    </w:p>
    <w:p>
      <w:pPr>
        <w:spacing w:after="110"/>
      </w:pPr>
      <w:r>
        <w:rPr>
          <w:b/>
          <w:bCs/>
          <w:color w:val="1E7A34"/>
        </w:rPr>
        <w:t xml:space="preserve">Answer: A</w:t>
      </w:r>
    </w:p>
    <w:p>
      <w:pPr>
        <w:spacing w:after="110"/>
      </w:pPr>
      <w:r>
        <w:t xml:space="preserve"/>
      </w:r>
    </w:p>
    <w:p>
      <w:pPr>
        <w:spacing w:after="110"/>
      </w:pPr>
      <w:r>
        <w:rPr>
          <w:b/>
          <w:bCs/>
        </w:rPr>
        <w:t xml:space="preserve">2. By itself, what does years of consistent persona activity establish?</w:t>
      </w:r>
    </w:p>
    <w:p>
      <w:pPr>
        <w:spacing w:after="40"/>
        <w:ind w:left="360"/>
      </w:pPr>
      <w:r>
        <w:rPr>
          <w:b w:val="false"/>
          <w:bCs w:val="false"/>
          <w:color w:val="000000"/>
        </w:rPr>
        <w:t xml:space="preserve">A. The real-world identity behind the persona</w:t>
      </w:r>
    </w:p>
    <w:p>
      <w:pPr>
        <w:spacing w:after="40"/>
        <w:ind w:left="360"/>
      </w:pPr>
      <w:r>
        <w:rPr>
          <w:b/>
          <w:bCs/>
          <w:color w:val="1E7A34"/>
        </w:rPr>
        <w:t xml:space="preserve">B. That one persona has been operated consistently over time — not who operates it</w:t>
      </w:r>
    </w:p>
    <w:p>
      <w:pPr>
        <w:spacing w:after="40"/>
        <w:ind w:left="360"/>
      </w:pPr>
      <w:r>
        <w:rPr>
          <w:b w:val="false"/>
          <w:bCs w:val="false"/>
          <w:color w:val="000000"/>
        </w:rPr>
        <w:t xml:space="preserve">C. Nothing usable at all</w:t>
      </w:r>
    </w:p>
    <w:p>
      <w:pPr>
        <w:spacing w:after="40"/>
        <w:ind w:left="360"/>
      </w:pPr>
      <w:r>
        <w:rPr>
          <w:b w:val="false"/>
          <w:bCs w:val="false"/>
          <w:color w:val="000000"/>
        </w:rPr>
        <w:t xml:space="preserve">D. A criminal conviction</w:t>
      </w:r>
    </w:p>
    <w:p>
      <w:pPr>
        <w:spacing w:after="110"/>
      </w:pPr>
      <w:r>
        <w:rPr>
          <w:b/>
          <w:bCs/>
          <w:color w:val="1E7A34"/>
        </w:rPr>
        <w:t xml:space="preserve">Answer: B</w:t>
      </w:r>
    </w:p>
    <w:p>
      <w:pPr>
        <w:spacing w:after="110"/>
      </w:pPr>
      <w:r>
        <w:t xml:space="preserve"/>
      </w:r>
    </w:p>
    <w:p>
      <w:pPr>
        <w:spacing w:after="110"/>
      </w:pPr>
      <w:r>
        <w:rPr>
          <w:b/>
          <w:bCs/>
        </w:rPr>
        <w:t xml:space="preserve">3. LockBitSupp had previously offered a $______ bounty to anyone who could unmask his real identity.</w:t>
      </w:r>
    </w:p>
    <w:p>
      <w:pPr>
        <w:spacing w:after="110"/>
      </w:pPr>
      <w:r>
        <w:rPr>
          <w:b/>
          <w:bCs/>
          <w:color w:val="1E7A34"/>
        </w:rPr>
        <w:t xml:space="preserve">Answer: 10 million</w:t>
      </w:r>
    </w:p>
    <w:p>
      <w:pPr>
        <w:spacing w:after="110"/>
      </w:pPr>
      <w:r>
        <w:t xml:space="preserve"/>
      </w:r>
    </w:p>
    <w:p>
      <w:pPr>
        <w:spacing w:after="110"/>
      </w:pPr>
      <w:r>
        <w:rPr>
          <w:b/>
          <w:bCs/>
        </w:rPr>
        <w:t xml:space="preserve">A complete squad answer must:</w:t>
      </w:r>
    </w:p>
    <w:p>
      <w:pPr>
        <w:pStyle w:val="ListParagraph"/>
        <w:numPr>
          <w:ilvl w:val="0"/>
          <w:numId w:val="1"/>
        </w:numPr>
        <w:spacing w:after="60"/>
      </w:pPr>
      <w:r>
        <w:t xml:space="preserve">Names the confidence level (this category alone should be no higher than moderate — a consistent persona doesn't by itself prove who's behind it)</w:t>
      </w:r>
    </w:p>
    <w:p>
      <w:pPr>
        <w:pStyle w:val="ListParagraph"/>
        <w:numPr>
          <w:ilvl w:val="0"/>
          <w:numId w:val="1"/>
        </w:numPr>
        <w:spacing w:after="60"/>
      </w:pPr>
      <w:r>
        <w:t xml:space="preserve">States the specific basis (multiple aliases in one indictment; years of consistent public activity under one identity)</w:t>
      </w:r>
    </w:p>
    <w:p>
      <w:pPr>
        <w:pStyle w:val="ListParagraph"/>
        <w:numPr>
          <w:ilvl w:val="0"/>
          <w:numId w:val="1"/>
        </w:numPr>
        <w:spacing w:after="60"/>
      </w:pPr>
      <w:r>
        <w:t xml:space="preserve">States what's missing: the indictment doesn't say how the persona was tied to a real name — that linkage is the actual attribution question this category can't answer alone</w:t>
      </w:r>
    </w:p>
    <w:p>
      <w:pPr>
        <w:spacing w:after="110"/>
      </w:pPr>
      <w:r>
        <w:rPr>
          <w:b/>
          <w:bCs/>
          <w:color w:val="1E7A34"/>
        </w:rPr>
        <w:t xml:space="preserve">Model answer:</w:t>
      </w:r>
    </w:p>
    <w:p>
      <w:pPr>
        <w:spacing w:after="110"/>
      </w:pPr>
      <w:r>
        <w:rPr>
          <w:i/>
          <w:iCs/>
          <w:color w:val="1E7A34"/>
        </w:rPr>
        <w:t xml:space="preserve">Moderate confidence that LockBitSupp represents a single, consistent operator identity, based on years of public activity, negotiation conduct, and multiple linked aliases (LockBitSupp, LockBit, putinkrab) named together in the indictment. This category establishes persona consistency, not real-world identity — that requires the other four categories.</w:t>
      </w:r>
    </w:p>
    <w:p>
      <w:pPr>
        <w:pStyle w:val="Heading3"/>
        <w:spacing w:after="80" w:before="160"/>
      </w:pPr>
      <w:r>
        <w:t xml:space="preserve">Category 2 — Infrastructure</w:t>
      </w:r>
    </w:p>
    <w:p>
      <w:pPr>
        <w:spacing w:after="110"/>
      </w:pPr>
      <w:r>
        <w:rPr>
          <w:i/>
          <w:iCs/>
        </w:rPr>
        <w:t xml:space="preserve">In February 2024, the UK's National Crime Agency (NCA) led “Operation Cronos,” seizing LockBit's public-facing websites and the servers used by LockBit administrators, in cooperation with the DOJ, FBI, and other international partners.</w:t>
      </w:r>
    </w:p>
    <w:p>
      <w:pPr>
        <w:spacing w:after="110"/>
      </w:pPr>
      <w:r>
        <w:rPr>
          <w:i/>
          <w:iCs/>
        </w:rPr>
        <w:t xml:space="preserve">From the infrastructure seized in February, law enforcement found evidence Khoroshev's group “retained copies of stolen data from victims who paid the ransom,” despite promising deletion.</w:t>
      </w:r>
    </w:p>
    <w:p>
      <w:pPr>
        <w:spacing w:after="110"/>
      </w:pPr>
      <w:r>
        <w:rPr>
          <w:i/>
          <w:iCs/>
        </w:rPr>
        <w:t xml:space="preserve">The May indictment followed roughly three months after the February infrastructure seizure.</w:t>
      </w:r>
    </w:p>
    <w:p>
      <w:pPr>
        <w:spacing w:after="110"/>
      </w:pPr>
      <w:r>
        <w:rPr>
          <w:b/>
          <w:bCs/>
        </w:rPr>
        <w:t xml:space="preserve">Quick check — answer key:</w:t>
      </w:r>
    </w:p>
    <w:p>
      <w:pPr>
        <w:spacing w:after="110"/>
      </w:pPr>
      <w:r>
        <w:rPr>
          <w:b/>
          <w:bCs/>
        </w:rPr>
        <w:t xml:space="preserve">1. Who led the February 2024 operation that seized LockBit's infrastructure?</w:t>
      </w:r>
    </w:p>
    <w:p>
      <w:pPr>
        <w:spacing w:after="40"/>
        <w:ind w:left="360"/>
      </w:pPr>
      <w:r>
        <w:rPr>
          <w:b w:val="false"/>
          <w:bCs w:val="false"/>
          <w:color w:val="000000"/>
        </w:rPr>
        <w:t xml:space="preserve">A. The FBI, acting alone</w:t>
      </w:r>
    </w:p>
    <w:p>
      <w:pPr>
        <w:spacing w:after="40"/>
        <w:ind w:left="360"/>
      </w:pPr>
      <w:r>
        <w:rPr>
          <w:b/>
          <w:bCs/>
          <w:color w:val="1E7A34"/>
        </w:rPr>
        <w:t xml:space="preserve">B. The UK's National Crime Agency (NCA)</w:t>
      </w:r>
    </w:p>
    <w:p>
      <w:pPr>
        <w:spacing w:after="40"/>
        <w:ind w:left="360"/>
      </w:pPr>
      <w:r>
        <w:rPr>
          <w:b w:val="false"/>
          <w:bCs w:val="false"/>
          <w:color w:val="000000"/>
        </w:rPr>
        <w:t xml:space="preserve">C. Europol</w:t>
      </w:r>
    </w:p>
    <w:p>
      <w:pPr>
        <w:spacing w:after="40"/>
        <w:ind w:left="360"/>
      </w:pPr>
      <w:r>
        <w:rPr>
          <w:b w:val="false"/>
          <w:bCs w:val="false"/>
          <w:color w:val="000000"/>
        </w:rPr>
        <w:t xml:space="preserve">D. The Australian Federal Police</w:t>
      </w:r>
    </w:p>
    <w:p>
      <w:pPr>
        <w:spacing w:after="110"/>
      </w:pPr>
      <w:r>
        <w:rPr>
          <w:b/>
          <w:bCs/>
          <w:color w:val="1E7A34"/>
        </w:rPr>
        <w:t xml:space="preserve">Answer: B</w:t>
      </w:r>
    </w:p>
    <w:p>
      <w:pPr>
        <w:spacing w:after="110"/>
      </w:pPr>
      <w:r>
        <w:t xml:space="preserve"/>
      </w:r>
    </w:p>
    <w:p>
      <w:pPr>
        <w:spacing w:after="110"/>
      </w:pPr>
      <w:r>
        <w:rPr>
          <w:b/>
          <w:bCs/>
        </w:rPr>
        <w:t xml:space="preserve">2. What did investigators find in the seized infrastructure regarding victim data?</w:t>
      </w:r>
    </w:p>
    <w:p>
      <w:pPr>
        <w:spacing w:after="40"/>
        <w:ind w:left="360"/>
      </w:pPr>
      <w:r>
        <w:rPr>
          <w:b w:val="false"/>
          <w:bCs w:val="false"/>
          <w:color w:val="000000"/>
        </w:rPr>
        <w:t xml:space="preserve">A. It had been fully deleted as promised</w:t>
      </w:r>
    </w:p>
    <w:p>
      <w:pPr>
        <w:spacing w:after="40"/>
        <w:ind w:left="360"/>
      </w:pPr>
      <w:r>
        <w:rPr>
          <w:b/>
          <w:bCs/>
          <w:color w:val="1E7A34"/>
        </w:rPr>
        <w:t xml:space="preserve">B. Copies were retained despite promises of deletion</w:t>
      </w:r>
    </w:p>
    <w:p>
      <w:pPr>
        <w:spacing w:after="40"/>
        <w:ind w:left="360"/>
      </w:pPr>
      <w:r>
        <w:rPr>
          <w:b w:val="false"/>
          <w:bCs w:val="false"/>
          <w:color w:val="000000"/>
        </w:rPr>
        <w:t xml:space="preserve">C. It was unreadable due to encryption</w:t>
      </w:r>
    </w:p>
    <w:p>
      <w:pPr>
        <w:spacing w:after="40"/>
        <w:ind w:left="360"/>
      </w:pPr>
      <w:r>
        <w:rPr>
          <w:b w:val="false"/>
          <w:bCs w:val="false"/>
          <w:color w:val="000000"/>
        </w:rPr>
        <w:t xml:space="preserve">D. No victim data was ever present</w:t>
      </w:r>
    </w:p>
    <w:p>
      <w:pPr>
        <w:spacing w:after="110"/>
      </w:pPr>
      <w:r>
        <w:rPr>
          <w:b/>
          <w:bCs/>
          <w:color w:val="1E7A34"/>
        </w:rPr>
        <w:t xml:space="preserve">Answer: B</w:t>
      </w:r>
    </w:p>
    <w:p>
      <w:pPr>
        <w:spacing w:after="110"/>
      </w:pPr>
      <w:r>
        <w:t xml:space="preserve"/>
      </w:r>
    </w:p>
    <w:p>
      <w:pPr>
        <w:spacing w:after="110"/>
      </w:pPr>
      <w:r>
        <w:rPr>
          <w:b/>
          <w:bCs/>
        </w:rPr>
        <w:t xml:space="preserve">3. The February infrastructure seizure was code-named Operation ______.</w:t>
      </w:r>
    </w:p>
    <w:p>
      <w:pPr>
        <w:spacing w:after="110"/>
      </w:pPr>
      <w:r>
        <w:rPr>
          <w:b/>
          <w:bCs/>
          <w:color w:val="1E7A34"/>
        </w:rPr>
        <w:t xml:space="preserve">Answer: Cronos</w:t>
      </w:r>
    </w:p>
    <w:p>
      <w:pPr>
        <w:spacing w:after="110"/>
      </w:pPr>
      <w:r>
        <w:t xml:space="preserve"/>
      </w:r>
    </w:p>
    <w:p>
      <w:pPr>
        <w:spacing w:after="110"/>
      </w:pPr>
      <w:r>
        <w:rPr>
          <w:b/>
          <w:bCs/>
        </w:rPr>
        <w:t xml:space="preserve">A complete squad answer must:</w:t>
      </w:r>
    </w:p>
    <w:p>
      <w:pPr>
        <w:pStyle w:val="ListParagraph"/>
        <w:numPr>
          <w:ilvl w:val="0"/>
          <w:numId w:val="1"/>
        </w:numPr>
        <w:spacing w:after="60"/>
      </w:pPr>
      <w:r>
        <w:t xml:space="preserve">States confidence level for what the infrastructure seizure establishes (administrator-level access to LockBit's operational back end — likely high confidence given direct server access)</w:t>
      </w:r>
    </w:p>
    <w:p>
      <w:pPr>
        <w:pStyle w:val="ListParagraph"/>
        <w:numPr>
          <w:ilvl w:val="0"/>
          <w:numId w:val="1"/>
        </w:numPr>
        <w:spacing w:after="60"/>
      </w:pPr>
      <w:r>
        <w:t xml:space="preserve">Correctly identifies that the seizure was executed by the NCA under UK authority, not directly by the FBI/DOJ</w:t>
      </w:r>
    </w:p>
    <w:p>
      <w:pPr>
        <w:pStyle w:val="ListParagraph"/>
        <w:numPr>
          <w:ilvl w:val="0"/>
          <w:numId w:val="1"/>
        </w:numPr>
        <w:spacing w:after="60"/>
      </w:pPr>
      <w:r>
        <w:t xml:space="preserve">Flags this as the intelligence-vs-evidence question from this morning's lecture: UK-seized material has to come to the U.S. through a lawful sharing mechanism before it's usable the way domestically-seized evidence would be</w:t>
      </w:r>
    </w:p>
    <w:p>
      <w:pPr>
        <w:spacing w:after="110"/>
      </w:pPr>
      <w:r>
        <w:rPr>
          <w:b/>
          <w:bCs/>
          <w:color w:val="1E7A34"/>
        </w:rPr>
        <w:t xml:space="preserve">Model answer:</w:t>
      </w:r>
    </w:p>
    <w:p>
      <w:pPr>
        <w:spacing w:after="110"/>
      </w:pPr>
      <w:r>
        <w:rPr>
          <w:i/>
          <w:iCs/>
          <w:color w:val="1E7A34"/>
        </w:rPr>
        <w:t xml:space="preserve">High confidence that whoever controlled this infrastructure had administrator-level access to LockBit's operational back end, based on direct seizure of admin-facing servers and websites. Gap/process note: this seizure was executed by the NCA under UK legal authority — for U.S. charging purposes, the resulting material needs to reach American prosecutors through a lawful international-sharing channel (direct law-enforcement cooperation or MLAT), the same distinction covered in Tuesday's international evidence lecture. It is not automatically U.S. trial-ready simply because a partner agency seized it.</w:t>
      </w:r>
    </w:p>
    <w:p>
      <w:pPr>
        <w:pStyle w:val="Heading3"/>
        <w:spacing w:after="80" w:before="160"/>
      </w:pPr>
      <w:r>
        <w:t xml:space="preserve">Category 3 — Customer / affiliate relationships</w:t>
      </w:r>
    </w:p>
    <w:p>
      <w:pPr>
        <w:spacing w:after="110"/>
      </w:pPr>
      <w:r>
        <w:rPr>
          <w:i/>
          <w:iCs/>
        </w:rPr>
        <w:t xml:space="preserve">LockBit operated as ransomware-as-a-service: affiliates kept 80% of each ransom and paid LockBit's operators the remaining 20% for use of the malware and infrastructure.</w:t>
      </w:r>
    </w:p>
    <w:p>
      <w:pPr>
        <w:spacing w:after="110"/>
      </w:pPr>
      <w:r>
        <w:rPr>
          <w:i/>
          <w:iCs/>
        </w:rPr>
        <w:t xml:space="preserve">Khoroshev is one of at least seven people charged as LockBit members in the District of New Jersey, including Artur Sungatov, Mikhail Vasiliev, Ruslan Astamirov, Mikhail Matveev, and others named across a series of related indictments.</w:t>
      </w:r>
    </w:p>
    <w:p>
      <w:pPr>
        <w:spacing w:after="110"/>
      </w:pPr>
      <w:r>
        <w:rPr>
          <w:i/>
          <w:iCs/>
        </w:rPr>
        <w:t xml:space="preserve">The DOJ described Khoroshev specifically as LockBit's “creator, developer, and primary operator” — a different role than the affiliates who deployed the ransomware against individual victims.</w:t>
      </w:r>
    </w:p>
    <w:p>
      <w:pPr>
        <w:spacing w:after="110"/>
      </w:pPr>
      <w:r>
        <w:rPr>
          <w:b/>
          <w:bCs/>
        </w:rPr>
        <w:t xml:space="preserve">Quick check — answer key:</w:t>
      </w:r>
    </w:p>
    <w:p>
      <w:pPr>
        <w:spacing w:after="110"/>
      </w:pPr>
      <w:r>
        <w:rPr>
          <w:b/>
          <w:bCs/>
        </w:rPr>
        <w:t xml:space="preserve">1. Under LockBit's RaaS model, what share did affiliates keep of each ransom?</w:t>
      </w:r>
    </w:p>
    <w:p>
      <w:pPr>
        <w:spacing w:after="40"/>
        <w:ind w:left="360"/>
      </w:pPr>
      <w:r>
        <w:rPr>
          <w:b w:val="false"/>
          <w:bCs w:val="false"/>
          <w:color w:val="000000"/>
        </w:rPr>
        <w:t xml:space="preserve">A. 50%</w:t>
      </w:r>
    </w:p>
    <w:p>
      <w:pPr>
        <w:spacing w:after="40"/>
        <w:ind w:left="360"/>
      </w:pPr>
      <w:r>
        <w:rPr>
          <w:b/>
          <w:bCs/>
          <w:color w:val="1E7A34"/>
        </w:rPr>
        <w:t xml:space="preserve">B. 80%</w:t>
      </w:r>
    </w:p>
    <w:p>
      <w:pPr>
        <w:spacing w:after="40"/>
        <w:ind w:left="360"/>
      </w:pPr>
      <w:r>
        <w:rPr>
          <w:b w:val="false"/>
          <w:bCs w:val="false"/>
          <w:color w:val="000000"/>
        </w:rPr>
        <w:t xml:space="preserve">C. 20%</w:t>
      </w:r>
    </w:p>
    <w:p>
      <w:pPr>
        <w:spacing w:after="40"/>
        <w:ind w:left="360"/>
      </w:pPr>
      <w:r>
        <w:rPr>
          <w:b w:val="false"/>
          <w:bCs w:val="false"/>
          <w:color w:val="000000"/>
        </w:rPr>
        <w:t xml:space="preserve">D. 100%</w:t>
      </w:r>
    </w:p>
    <w:p>
      <w:pPr>
        <w:spacing w:after="110"/>
      </w:pPr>
      <w:r>
        <w:rPr>
          <w:b/>
          <w:bCs/>
          <w:color w:val="1E7A34"/>
        </w:rPr>
        <w:t xml:space="preserve">Answer: B</w:t>
      </w:r>
    </w:p>
    <w:p>
      <w:pPr>
        <w:spacing w:after="110"/>
      </w:pPr>
      <w:r>
        <w:t xml:space="preserve"/>
      </w:r>
    </w:p>
    <w:p>
      <w:pPr>
        <w:spacing w:after="110"/>
      </w:pPr>
      <w:r>
        <w:rPr>
          <w:b/>
          <w:bCs/>
        </w:rPr>
        <w:t xml:space="preserve">2. What was Khoroshev's alleged role, distinct from the affiliates?</w:t>
      </w:r>
    </w:p>
    <w:p>
      <w:pPr>
        <w:spacing w:after="40"/>
        <w:ind w:left="360"/>
      </w:pPr>
      <w:r>
        <w:rPr>
          <w:b w:val="false"/>
          <w:bCs w:val="false"/>
          <w:color w:val="000000"/>
        </w:rPr>
        <w:t xml:space="preserve">A. A victim</w:t>
      </w:r>
    </w:p>
    <w:p>
      <w:pPr>
        <w:spacing w:after="40"/>
        <w:ind w:left="360"/>
      </w:pPr>
      <w:r>
        <w:rPr>
          <w:b/>
          <w:bCs/>
          <w:color w:val="1E7A34"/>
        </w:rPr>
        <w:t xml:space="preserve">B. Creator, developer, and primary operator</w:t>
      </w:r>
    </w:p>
    <w:p>
      <w:pPr>
        <w:spacing w:after="40"/>
        <w:ind w:left="360"/>
      </w:pPr>
      <w:r>
        <w:rPr>
          <w:b w:val="false"/>
          <w:bCs w:val="false"/>
          <w:color w:val="000000"/>
        </w:rPr>
        <w:t xml:space="preserve">C. A negotiator only, with no technical role</w:t>
      </w:r>
    </w:p>
    <w:p>
      <w:pPr>
        <w:spacing w:after="40"/>
        <w:ind w:left="360"/>
      </w:pPr>
      <w:r>
        <w:rPr>
          <w:b w:val="false"/>
          <w:bCs w:val="false"/>
          <w:color w:val="000000"/>
        </w:rPr>
        <w:t xml:space="preserve">D. An unrelated bystander</w:t>
      </w:r>
    </w:p>
    <w:p>
      <w:pPr>
        <w:spacing w:after="110"/>
      </w:pPr>
      <w:r>
        <w:rPr>
          <w:b/>
          <w:bCs/>
          <w:color w:val="1E7A34"/>
        </w:rPr>
        <w:t xml:space="preserve">Answer: B</w:t>
      </w:r>
    </w:p>
    <w:p>
      <w:pPr>
        <w:spacing w:after="110"/>
      </w:pPr>
      <w:r>
        <w:t xml:space="preserve"/>
      </w:r>
    </w:p>
    <w:p>
      <w:pPr>
        <w:spacing w:after="110"/>
      </w:pPr>
      <w:r>
        <w:rPr>
          <w:b/>
          <w:bCs/>
        </w:rPr>
        <w:t xml:space="preserve">3. At least ______ people had been charged as LockBit members across the related indictments.</w:t>
      </w:r>
    </w:p>
    <w:p>
      <w:pPr>
        <w:spacing w:after="110"/>
      </w:pPr>
      <w:r>
        <w:rPr>
          <w:b/>
          <w:bCs/>
          <w:color w:val="1E7A34"/>
        </w:rPr>
        <w:t xml:space="preserve">Answer: seven</w:t>
      </w:r>
    </w:p>
    <w:p>
      <w:pPr>
        <w:spacing w:after="110"/>
      </w:pPr>
      <w:r>
        <w:t xml:space="preserve"/>
      </w:r>
    </w:p>
    <w:p>
      <w:pPr>
        <w:spacing w:after="110"/>
      </w:pPr>
      <w:r>
        <w:rPr>
          <w:b/>
          <w:bCs/>
        </w:rPr>
        <w:t xml:space="preserve">A complete squad answer must:</w:t>
      </w:r>
    </w:p>
    <w:p>
      <w:pPr>
        <w:pStyle w:val="ListParagraph"/>
        <w:numPr>
          <w:ilvl w:val="0"/>
          <w:numId w:val="1"/>
        </w:numPr>
        <w:spacing w:after="60"/>
      </w:pPr>
      <w:r>
        <w:t xml:space="preserve">States a confidence level for ‘organized service vs. individual brokerage,’ with the 80/20 revenue split and multiple separately-charged affiliates as the basis</w:t>
      </w:r>
    </w:p>
    <w:p>
      <w:pPr>
        <w:pStyle w:val="ListParagraph"/>
        <w:numPr>
          <w:ilvl w:val="0"/>
          <w:numId w:val="1"/>
        </w:numPr>
        <w:spacing w:after="60"/>
      </w:pPr>
      <w:r>
        <w:t xml:space="preserve">Explicitly separates Khoroshev's alleged administrator/developer role from the affiliates' deployment role — conflating them is a real error to avoid</w:t>
      </w:r>
    </w:p>
    <w:p>
      <w:pPr>
        <w:pStyle w:val="ListParagraph"/>
        <w:numPr>
          <w:ilvl w:val="0"/>
          <w:numId w:val="1"/>
        </w:numPr>
        <w:spacing w:after="60"/>
      </w:pPr>
      <w:r>
        <w:t xml:space="preserve">Names what would strengthen or weaken this specific claim (e.g., evidence of Khoroshev personally directing specific attacks would strengthen; evidence the affiliates operated with total technical independence would weaken)</w:t>
      </w:r>
    </w:p>
    <w:p>
      <w:pPr>
        <w:spacing w:after="110"/>
      </w:pPr>
      <w:r>
        <w:rPr>
          <w:b/>
          <w:bCs/>
          <w:color w:val="1E7A34"/>
        </w:rPr>
        <w:t xml:space="preserve">Model answer:</w:t>
      </w:r>
    </w:p>
    <w:p>
      <w:pPr>
        <w:spacing w:after="110"/>
      </w:pPr>
      <w:r>
        <w:rPr>
          <w:i/>
          <w:iCs/>
          <w:color w:val="1E7A34"/>
        </w:rPr>
        <w:t xml:space="preserve">Moderate-to-high confidence that LockBit operated as an organized ransomware-as-a-service enterprise rather than an individual's freelance activity, based on the structured 80/20 revenue split and at least seven separately identified and charged participants. Khoroshev is alleged to be the platform's creator, developer, and primary operator — a distinct role from the affiliates who used his tooling to attack individual victims. This category supports an enterprise-level charge; it does not by itself prove Khoroshev personally directed any single attack.</w:t>
      </w:r>
    </w:p>
    <w:p>
      <w:pPr>
        <w:pStyle w:val="Heading3"/>
        <w:spacing w:after="80" w:before="160"/>
      </w:pPr>
      <w:r>
        <w:t xml:space="preserve">Category 4 — Real-world identity</w:t>
      </w:r>
    </w:p>
    <w:p>
      <w:pPr>
        <w:spacing w:after="110"/>
      </w:pPr>
      <w:r>
        <w:rPr>
          <w:i/>
          <w:iCs/>
        </w:rPr>
        <w:t xml:space="preserve">The indictment names “Dmitry Yuryevich Khoroshev (Дмитрий Юрьевич Хорошев), also known as LockBitSupp, LockBit, and putinkrab, 31, of Voronezh, Russia.”</w:t>
      </w:r>
    </w:p>
    <w:p>
      <w:pPr>
        <w:spacing w:after="110"/>
      </w:pPr>
      <w:r>
        <w:rPr>
          <w:i/>
          <w:iCs/>
        </w:rPr>
        <w:t xml:space="preserve">The U.S. State Department announced a reward of up to $10 million for information leading to his arrest.</w:t>
      </w:r>
    </w:p>
    <w:p>
      <w:pPr>
        <w:spacing w:after="110"/>
      </w:pPr>
      <w:r>
        <w:rPr>
          <w:i/>
          <w:iCs/>
        </w:rPr>
        <w:t xml:space="preserve">As of the indictment's unsealing, Khoroshev had not been arrested and remained in Russia — the charges and sanctions did not depend on custody.</w:t>
      </w:r>
    </w:p>
    <w:p>
      <w:pPr>
        <w:spacing w:after="110"/>
      </w:pPr>
      <w:r>
        <w:rPr>
          <w:b/>
          <w:bCs/>
        </w:rPr>
        <w:t xml:space="preserve">Quick check — answer key:</w:t>
      </w:r>
    </w:p>
    <w:p>
      <w:pPr>
        <w:spacing w:after="110"/>
      </w:pPr>
      <w:r>
        <w:rPr>
          <w:b/>
          <w:bCs/>
        </w:rPr>
        <w:t xml:space="preserve">1. Which countries jointly announced sanctions against Khoroshev?</w:t>
      </w:r>
    </w:p>
    <w:p>
      <w:pPr>
        <w:spacing w:after="40"/>
        <w:ind w:left="360"/>
      </w:pPr>
      <w:r>
        <w:rPr>
          <w:b/>
          <w:bCs/>
          <w:color w:val="1E7A34"/>
        </w:rPr>
        <w:t xml:space="preserve">A. U.S., UK, and Australia</w:t>
      </w:r>
    </w:p>
    <w:p>
      <w:pPr>
        <w:spacing w:after="40"/>
        <w:ind w:left="360"/>
      </w:pPr>
      <w:r>
        <w:rPr>
          <w:b w:val="false"/>
          <w:bCs w:val="false"/>
          <w:color w:val="000000"/>
        </w:rPr>
        <w:t xml:space="preserve">B. U.S. only</w:t>
      </w:r>
    </w:p>
    <w:p>
      <w:pPr>
        <w:spacing w:after="40"/>
        <w:ind w:left="360"/>
      </w:pPr>
      <w:r>
        <w:rPr>
          <w:b w:val="false"/>
          <w:bCs w:val="false"/>
          <w:color w:val="000000"/>
        </w:rPr>
        <w:t xml:space="preserve">C. UK and Canada</w:t>
      </w:r>
    </w:p>
    <w:p>
      <w:pPr>
        <w:spacing w:after="40"/>
        <w:ind w:left="360"/>
      </w:pPr>
      <w:r>
        <w:rPr>
          <w:b w:val="false"/>
          <w:bCs w:val="false"/>
          <w:color w:val="000000"/>
        </w:rPr>
        <w:t xml:space="preserve">D. U.S. and Russia</w:t>
      </w:r>
    </w:p>
    <w:p>
      <w:pPr>
        <w:spacing w:after="110"/>
      </w:pPr>
      <w:r>
        <w:rPr>
          <w:b/>
          <w:bCs/>
          <w:color w:val="1E7A34"/>
        </w:rPr>
        <w:t xml:space="preserve">Answer: A</w:t>
      </w:r>
    </w:p>
    <w:p>
      <w:pPr>
        <w:spacing w:after="110"/>
      </w:pPr>
      <w:r>
        <w:t xml:space="preserve"/>
      </w:r>
    </w:p>
    <w:p>
      <w:pPr>
        <w:spacing w:after="110"/>
      </w:pPr>
      <w:r>
        <w:rPr>
          <w:b/>
          <w:bCs/>
        </w:rPr>
        <w:t xml:space="preserve">2. What is Khoroshev's custody status as of the indictment's unsealing?</w:t>
      </w:r>
    </w:p>
    <w:p>
      <w:pPr>
        <w:spacing w:after="40"/>
        <w:ind w:left="360"/>
      </w:pPr>
      <w:r>
        <w:rPr>
          <w:b w:val="false"/>
          <w:bCs w:val="false"/>
          <w:color w:val="000000"/>
        </w:rPr>
        <w:t xml:space="preserve">A. Convicted and imprisoned</w:t>
      </w:r>
    </w:p>
    <w:p>
      <w:pPr>
        <w:spacing w:after="40"/>
        <w:ind w:left="360"/>
      </w:pPr>
      <w:r>
        <w:rPr>
          <w:b w:val="false"/>
          <w:bCs w:val="false"/>
          <w:color w:val="000000"/>
        </w:rPr>
        <w:t xml:space="preserve">B. Arrested and awaiting trial</w:t>
      </w:r>
    </w:p>
    <w:p>
      <w:pPr>
        <w:spacing w:after="40"/>
        <w:ind w:left="360"/>
      </w:pPr>
      <w:r>
        <w:rPr>
          <w:b/>
          <w:bCs/>
          <w:color w:val="1E7A34"/>
        </w:rPr>
        <w:t xml:space="preserve">C. Not arrested; remains at large</w:t>
      </w:r>
    </w:p>
    <w:p>
      <w:pPr>
        <w:spacing w:after="40"/>
        <w:ind w:left="360"/>
      </w:pPr>
      <w:r>
        <w:rPr>
          <w:b w:val="false"/>
          <w:bCs w:val="false"/>
          <w:color w:val="000000"/>
        </w:rPr>
        <w:t xml:space="preserve">D. Extradited to the U.S.</w:t>
      </w:r>
    </w:p>
    <w:p>
      <w:pPr>
        <w:spacing w:after="110"/>
      </w:pPr>
      <w:r>
        <w:rPr>
          <w:b/>
          <w:bCs/>
          <w:color w:val="1E7A34"/>
        </w:rPr>
        <w:t xml:space="preserve">Answer: C</w:t>
      </w:r>
    </w:p>
    <w:p>
      <w:pPr>
        <w:spacing w:after="110"/>
      </w:pPr>
      <w:r>
        <w:t xml:space="preserve"/>
      </w:r>
    </w:p>
    <w:p>
      <w:pPr>
        <w:spacing w:after="110"/>
      </w:pPr>
      <w:r>
        <w:rPr>
          <w:b/>
          <w:bCs/>
        </w:rPr>
        <w:t xml:space="preserve">3. Khoroshev is a resident of ______, Russia.</w:t>
      </w:r>
    </w:p>
    <w:p>
      <w:pPr>
        <w:spacing w:after="110"/>
      </w:pPr>
      <w:r>
        <w:rPr>
          <w:b/>
          <w:bCs/>
          <w:color w:val="1E7A34"/>
        </w:rPr>
        <w:t xml:space="preserve">Answer: Voronezh</w:t>
      </w:r>
    </w:p>
    <w:p>
      <w:pPr>
        <w:spacing w:after="110"/>
      </w:pPr>
      <w:r>
        <w:t xml:space="preserve"/>
      </w:r>
    </w:p>
    <w:p>
      <w:pPr>
        <w:spacing w:after="110"/>
      </w:pPr>
      <w:r>
        <w:rPr>
          <w:b/>
          <w:bCs/>
        </w:rPr>
        <w:t xml:space="preserve">A complete squad answer must:</w:t>
      </w:r>
    </w:p>
    <w:p>
      <w:pPr>
        <w:pStyle w:val="ListParagraph"/>
        <w:numPr>
          <w:ilvl w:val="0"/>
          <w:numId w:val="1"/>
        </w:numPr>
        <w:spacing w:after="60"/>
      </w:pPr>
      <w:r>
        <w:t xml:space="preserve">Names a confidence level for the real-name attribution specifically — not just restating that a name was announced, but reasoning about what a joint indictment-plus-sanctions action from three governments implies about the underlying confidence</w:t>
      </w:r>
    </w:p>
    <w:p>
      <w:pPr>
        <w:pStyle w:val="ListParagraph"/>
        <w:numPr>
          <w:ilvl w:val="0"/>
          <w:numId w:val="1"/>
        </w:numPr>
        <w:spacing w:after="60"/>
      </w:pPr>
      <w:r>
        <w:t xml:space="preserve">Explicitly notes that the public record does not disclose the specific evidence (financial records, OPSEC failures, technical forensics) that ties Khoroshev personally to the persona — that's a real, named gap, not an assumption to paper over</w:t>
      </w:r>
    </w:p>
    <w:p>
      <w:pPr>
        <w:pStyle w:val="ListParagraph"/>
        <w:numPr>
          <w:ilvl w:val="0"/>
          <w:numId w:val="1"/>
        </w:numPr>
        <w:spacing w:after="60"/>
      </w:pPr>
      <w:r>
        <w:t xml:space="preserve">Does not conflate 'indicted' with 'convicted' or 'in custody' — a common error this exercise is built to catch</w:t>
      </w:r>
    </w:p>
    <w:p>
      <w:pPr>
        <w:spacing w:after="110"/>
      </w:pPr>
      <w:r>
        <w:rPr>
          <w:b/>
          <w:bCs/>
          <w:color w:val="1E7A34"/>
        </w:rPr>
        <w:t xml:space="preserve">Model answer:</w:t>
      </w:r>
    </w:p>
    <w:p>
      <w:pPr>
        <w:spacing w:after="110"/>
      </w:pPr>
      <w:r>
        <w:rPr>
          <w:i/>
          <w:iCs/>
          <w:color w:val="1E7A34"/>
        </w:rPr>
        <w:t xml:space="preserve">High confidence that Khoroshev is LockBitSupp, based on a coordinated, simultaneous action by three governments (U.S. indictment, and sanctions from U.S. Treasury, UK FCDO, and Australian DFAT) — that level of coordinated commitment is not undertaken on weak attribution. Documented gap: the public record does not disclose the specific evidence (financial tracing, technical forensics, OPSEC failures) underlying this conclusion; that material is presumably in the sealed case file or law-enforcement-sensitive reporting. Separately: Khoroshev has not been arrested or convicted; the $10 million reward reflects that he remains at large, which is a custody fact, not an attribution fact.</w:t>
      </w:r>
    </w:p>
    <w:p>
      <w:pPr>
        <w:pStyle w:val="Heading3"/>
        <w:spacing w:after="80" w:before="160"/>
      </w:pPr>
      <w:r>
        <w:t xml:space="preserve">Category 5 — Foreign partner threads</w:t>
      </w:r>
    </w:p>
    <w:p>
      <w:pPr>
        <w:spacing w:after="110"/>
      </w:pPr>
      <w:r>
        <w:rPr>
          <w:i/>
          <w:iCs/>
        </w:rPr>
        <w:t xml:space="preserve">The February 2024 infrastructure takedown was led by the UK's National Crime Agency Cyber Division, “in cooperation with the Justice Department, FBI, and other international law enforcement partners.”</w:t>
      </w:r>
    </w:p>
    <w:p>
      <w:pPr>
        <w:spacing w:after="110"/>
      </w:pPr>
      <w:r>
        <w:rPr>
          <w:i/>
          <w:iCs/>
        </w:rPr>
        <w:t xml:space="preserve">Sanctions were announced jointly and simultaneously by the U.S. Treasury's OFAC, the UK's Foreign, Commonwealth and Development Office, and Australia's Department of Foreign Affairs and Trade.</w:t>
      </w:r>
    </w:p>
    <w:p>
      <w:pPr>
        <w:spacing w:after="110"/>
      </w:pPr>
      <w:r>
        <w:rPr>
          <w:i/>
          <w:iCs/>
        </w:rPr>
        <w:t xml:space="preserve">FBI Director Christopher Wray tied the May indictment directly to the February NCA-led disruption as one continuous effort.</w:t>
      </w:r>
    </w:p>
    <w:p>
      <w:pPr>
        <w:spacing w:after="110"/>
      </w:pPr>
      <w:r>
        <w:rPr>
          <w:b/>
          <w:bCs/>
        </w:rPr>
        <w:t xml:space="preserve">Quick check — answer key:</w:t>
      </w:r>
    </w:p>
    <w:p>
      <w:pPr>
        <w:spacing w:after="110"/>
      </w:pPr>
      <w:r>
        <w:rPr>
          <w:b/>
          <w:bCs/>
        </w:rPr>
        <w:t xml:space="preserve">1. Which U.S. agency's sanctions arm joined the joint action?</w:t>
      </w:r>
    </w:p>
    <w:p>
      <w:pPr>
        <w:spacing w:after="40"/>
        <w:ind w:left="360"/>
      </w:pPr>
      <w:r>
        <w:rPr>
          <w:b w:val="false"/>
          <w:bCs w:val="false"/>
          <w:color w:val="000000"/>
        </w:rPr>
        <w:t xml:space="preserve">A. Department of Commerce</w:t>
      </w:r>
    </w:p>
    <w:p>
      <w:pPr>
        <w:spacing w:after="40"/>
        <w:ind w:left="360"/>
      </w:pPr>
      <w:r>
        <w:rPr>
          <w:b/>
          <w:bCs/>
          <w:color w:val="1E7A34"/>
        </w:rPr>
        <w:t xml:space="preserve">B. Treasury's Office of Foreign Assets Control (OFAC)</w:t>
      </w:r>
    </w:p>
    <w:p>
      <w:pPr>
        <w:spacing w:after="40"/>
        <w:ind w:left="360"/>
      </w:pPr>
      <w:r>
        <w:rPr>
          <w:b w:val="false"/>
          <w:bCs w:val="false"/>
          <w:color w:val="000000"/>
        </w:rPr>
        <w:t xml:space="preserve">C. Department of Labor</w:t>
      </w:r>
    </w:p>
    <w:p>
      <w:pPr>
        <w:spacing w:after="40"/>
        <w:ind w:left="360"/>
      </w:pPr>
      <w:r>
        <w:rPr>
          <w:b w:val="false"/>
          <w:bCs w:val="false"/>
          <w:color w:val="000000"/>
        </w:rPr>
        <w:t xml:space="preserve">D. The SEC</w:t>
      </w:r>
    </w:p>
    <w:p>
      <w:pPr>
        <w:spacing w:after="110"/>
      </w:pPr>
      <w:r>
        <w:rPr>
          <w:b/>
          <w:bCs/>
          <w:color w:val="1E7A34"/>
        </w:rPr>
        <w:t xml:space="preserve">Answer: B</w:t>
      </w:r>
    </w:p>
    <w:p>
      <w:pPr>
        <w:spacing w:after="110"/>
      </w:pPr>
      <w:r>
        <w:t xml:space="preserve"/>
      </w:r>
    </w:p>
    <w:p>
      <w:pPr>
        <w:spacing w:after="110"/>
      </w:pPr>
      <w:r>
        <w:rPr>
          <w:b/>
          <w:bCs/>
        </w:rPr>
        <w:t xml:space="preserve">2. Why might three countries' agreement NOT represent fully independent confirmation?</w:t>
      </w:r>
    </w:p>
    <w:p>
      <w:pPr>
        <w:spacing w:after="40"/>
        <w:ind w:left="360"/>
      </w:pPr>
      <w:r>
        <w:rPr>
          <w:b w:val="false"/>
          <w:bCs w:val="false"/>
          <w:color w:val="000000"/>
        </w:rPr>
        <w:t xml:space="preserve">A. They didn't actually agree</w:t>
      </w:r>
    </w:p>
    <w:p>
      <w:pPr>
        <w:spacing w:after="40"/>
        <w:ind w:left="360"/>
      </w:pPr>
      <w:r>
        <w:rPr>
          <w:b/>
          <w:bCs/>
          <w:color w:val="1E7A34"/>
        </w:rPr>
        <w:t xml:space="preserve">B. They may substantially share the same underlying seized material from one joint operation</w:t>
      </w:r>
    </w:p>
    <w:p>
      <w:pPr>
        <w:spacing w:after="40"/>
        <w:ind w:left="360"/>
      </w:pPr>
      <w:r>
        <w:rPr>
          <w:b w:val="false"/>
          <w:bCs w:val="false"/>
          <w:color w:val="000000"/>
        </w:rPr>
        <w:t xml:space="preserve">C. International law forbids independent investigations</w:t>
      </w:r>
    </w:p>
    <w:p>
      <w:pPr>
        <w:spacing w:after="40"/>
        <w:ind w:left="360"/>
      </w:pPr>
      <w:r>
        <w:rPr>
          <w:b w:val="false"/>
          <w:bCs w:val="false"/>
          <w:color w:val="000000"/>
        </w:rPr>
        <w:t xml:space="preserve">D. There's no reason to doubt it</w:t>
      </w:r>
    </w:p>
    <w:p>
      <w:pPr>
        <w:spacing w:after="110"/>
      </w:pPr>
      <w:r>
        <w:rPr>
          <w:b/>
          <w:bCs/>
          <w:color w:val="1E7A34"/>
        </w:rPr>
        <w:t xml:space="preserve">Answer: B</w:t>
      </w:r>
    </w:p>
    <w:p>
      <w:pPr>
        <w:spacing w:after="110"/>
      </w:pPr>
      <w:r>
        <w:t xml:space="preserve"/>
      </w:r>
    </w:p>
    <w:p>
      <w:pPr>
        <w:spacing w:after="110"/>
      </w:pPr>
      <w:r>
        <w:rPr>
          <w:b/>
          <w:bCs/>
        </w:rPr>
        <w:t xml:space="preserve">3. The UK counterpart body that joined the sanctions action was the ______.</w:t>
      </w:r>
    </w:p>
    <w:p>
      <w:pPr>
        <w:spacing w:after="110"/>
      </w:pPr>
      <w:r>
        <w:rPr>
          <w:b/>
          <w:bCs/>
          <w:color w:val="1E7A34"/>
        </w:rPr>
        <w:t xml:space="preserve">Answer: Foreign, Commonwealth and Development Office (FCDO)</w:t>
      </w:r>
    </w:p>
    <w:p>
      <w:pPr>
        <w:spacing w:after="110"/>
      </w:pPr>
      <w:r>
        <w:t xml:space="preserve"/>
      </w:r>
    </w:p>
    <w:p>
      <w:pPr>
        <w:spacing w:after="110"/>
      </w:pPr>
      <w:r>
        <w:rPr>
          <w:b/>
          <w:bCs/>
        </w:rPr>
        <w:t xml:space="preserve">A complete squad answer must:</w:t>
      </w:r>
    </w:p>
    <w:p>
      <w:pPr>
        <w:pStyle w:val="ListParagraph"/>
        <w:numPr>
          <w:ilvl w:val="0"/>
          <w:numId w:val="1"/>
        </w:numPr>
        <w:spacing w:after="60"/>
      </w:pPr>
      <w:r>
        <w:t xml:space="preserve">Recognizes that independently-arrived-at agreement across three countries' governments is itself a form of corroboration, distinct from and additive to the technical evidence in the other categories</w:t>
      </w:r>
    </w:p>
    <w:p>
      <w:pPr>
        <w:pStyle w:val="ListParagraph"/>
        <w:numPr>
          <w:ilvl w:val="0"/>
          <w:numId w:val="1"/>
        </w:numPr>
        <w:spacing w:after="60"/>
      </w:pPr>
      <w:r>
        <w:t xml:space="preserve">Notes the specific mechanism (NCA-led operation, DOJ/FBI cooperation, joint OFAC/FCDO/DFAT sanctions) rather than a vague 'international cooperation happened'</w:t>
      </w:r>
    </w:p>
    <w:p>
      <w:pPr>
        <w:pStyle w:val="ListParagraph"/>
        <w:numPr>
          <w:ilvl w:val="0"/>
          <w:numId w:val="1"/>
        </w:numPr>
        <w:spacing w:after="60"/>
      </w:pPr>
      <w:r>
        <w:t xml:space="preserve">Avoids overclaiming: three governments agreeing doesn't mean they all had access to the same underlying evidence — it could reflect shared analysis of the same NCA-seized material rather than fully independent confirmation</w:t>
      </w:r>
    </w:p>
    <w:p>
      <w:pPr>
        <w:spacing w:after="110"/>
      </w:pPr>
      <w:r>
        <w:rPr>
          <w:b/>
          <w:bCs/>
          <w:color w:val="1E7A34"/>
        </w:rPr>
        <w:t xml:space="preserve">Model answer:</w:t>
      </w:r>
    </w:p>
    <w:p>
      <w:pPr>
        <w:spacing w:after="110"/>
      </w:pPr>
      <w:r>
        <w:rPr>
          <w:i/>
          <w:iCs/>
          <w:color w:val="1E7A34"/>
        </w:rPr>
        <w:t xml:space="preserve">Moderate-to-high confidence that this attribution reflects genuine multi-government corroboration, based on the NCA-led seizure, DOJ/FBI cooperation, and simultaneous joint sanctions from three countries' treasury/foreign-affairs bodies. Documented caveat: shared participation in one joint operation (Cronos) means these countries may be largely relying on the same underlying seized material rather than fully independent evidence bases — three governments agreeing is meaningfully stronger than one, but it is not the same as three fully independent investigations reaching the same conclusion.</w:t>
      </w:r>
    </w:p>
    <w:p>
      <w:pPr>
        <w:pStyle w:val="Heading1"/>
        <w:spacing w:after="140" w:before="280"/>
      </w:pPr>
      <w:r>
        <w:t xml:space="preserve">Final calibrated statements</w:t>
      </w:r>
    </w:p>
    <w:p>
      <w:pPr>
        <w:spacing w:after="110"/>
      </w:pPr>
      <w:r>
        <w:rPr>
          <w:i/>
          <w:iCs/>
        </w:rPr>
        <w:t xml:space="preserve">Using the lecture's exact format (‘[Confidence] confidence that [claim] based on [basis], with documented gaps in [gap].’), write three final calibrated statements for this case, each at a different confidence level: one high, one moderate, one low. Do not reuse a single category's model answer verbatim — synthesize across categories.</w:t>
      </w:r>
    </w:p>
    <w:p>
      <w:pPr>
        <w:spacing w:after="110"/>
      </w:pPr>
      <w:r>
        <w:rPr>
          <w:b/>
          <w:bCs/>
        </w:rPr>
        <w:t xml:space="preserve">Example set (for your reference — squads should produce their own synthesis, not copy this):</w:t>
      </w:r>
    </w:p>
    <w:p>
      <w:pPr>
        <w:spacing w:after="110"/>
      </w:pPr>
      <w:r>
        <w:rPr>
          <w:i/>
          <w:iCs/>
          <w:color w:val="1E7A34"/>
        </w:rPr>
        <w:t xml:space="preserve">High: High confidence that Khoroshev is LockBitSupp, based on coordinated indictment and sanctions from three governments acting simultaneously — a level of joint commitment inconsistent with weak attribution, with documented gaps in the specific technical/financial evidence underlying that conclusion, which is not public.</w:t>
      </w:r>
    </w:p>
    <w:p>
      <w:pPr>
        <w:spacing w:after="110"/>
      </w:pPr>
      <w:r>
        <w:rPr>
          <w:i/>
          <w:iCs/>
          <w:color w:val="1E7A34"/>
        </w:rPr>
        <w:t xml:space="preserve">Moderate: Moderate-to-high confidence that LockBit functioned as an organized enterprise rather than individual freelance activity, based on the 80/20 affiliate revenue structure and at least seven separately charged participants, with documented gaps in exactly how much operational control Khoroshev personally exercised over any single affiliate's attacks.</w:t>
      </w:r>
    </w:p>
    <w:p>
      <w:pPr>
        <w:spacing w:after="110"/>
      </w:pPr>
      <w:r>
        <w:rPr>
          <w:i/>
          <w:iCs/>
          <w:color w:val="1E7A34"/>
        </w:rPr>
        <w:t xml:space="preserve">Low: Low confidence in the precise boundary between Khoroshev's role and his affiliates' independent technical decisions, based on fragmentary public information about internal LockBit operations, with the gap being that this distinction likely matters more to sentencing and individual charges than to the core attribution question.</w:t>
      </w:r>
    </w:p>
    <w:p>
      <w:pPr>
        <w:pStyle w:val="Heading2"/>
        <w:spacing w:after="110" w:before="220"/>
      </w:pPr>
      <w:r>
        <w:t xml:space="preserve">Common errors to watch for (tied to Slide 18)</w:t>
      </w:r>
    </w:p>
    <w:p>
      <w:pPr>
        <w:pStyle w:val="ListParagraph"/>
        <w:numPr>
          <w:ilvl w:val="0"/>
          <w:numId w:val="1"/>
        </w:numPr>
        <w:spacing w:after="60"/>
      </w:pPr>
      <w:r>
        <w:t xml:space="preserve">Stating a confidence level with no basis (“high confidence it's him”) — push for the specific fact pattern behind the number.</w:t>
      </w:r>
    </w:p>
    <w:p>
      <w:pPr>
        <w:pStyle w:val="ListParagraph"/>
        <w:numPr>
          <w:ilvl w:val="0"/>
          <w:numId w:val="1"/>
        </w:numPr>
        <w:spacing w:after="60"/>
      </w:pPr>
      <w:r>
        <w:t xml:space="preserve">Treating the persona's public track record (Category 1) as if it alone proves real-world identity — that's exactly the gap the other four categories exist to close.</w:t>
      </w:r>
    </w:p>
    <w:p>
      <w:pPr>
        <w:pStyle w:val="ListParagraph"/>
        <w:numPr>
          <w:ilvl w:val="0"/>
          <w:numId w:val="1"/>
        </w:numPr>
        <w:spacing w:after="60"/>
      </w:pPr>
      <w:r>
        <w:t xml:space="preserve">Conflating 'indicted' with 'convicted' or 'in custody' — Category 4 is designed to catch this. Khoroshev remains at large; the $10 million reward is itself evidence of that, not evidence against him.</w:t>
      </w:r>
    </w:p>
    <w:p>
      <w:pPr>
        <w:pStyle w:val="ListParagraph"/>
        <w:numPr>
          <w:ilvl w:val="0"/>
          <w:numId w:val="1"/>
        </w:numPr>
        <w:spacing w:after="60"/>
      </w:pPr>
      <w:r>
        <w:t xml:space="preserve">Treating the NCA's February seizure as automatically usable U.S. evidence — this is the intelligence-vs-evidence / international-cooperation distinction from Tuesday's lecture resurfacing. It needs a lawful sharing mechanism, not just goodwill between agencies.</w:t>
      </w:r>
    </w:p>
    <w:p>
      <w:pPr>
        <w:pStyle w:val="ListParagraph"/>
        <w:numPr>
          <w:ilvl w:val="0"/>
          <w:numId w:val="1"/>
        </w:numPr>
        <w:spacing w:after="60"/>
      </w:pPr>
      <w:r>
        <w:t xml:space="preserve">In Category 5, mistaking three governments' agreement for three fully independent investigations — they may substantially share the same underlying seized material.</w:t>
      </w:r>
    </w:p>
    <w:p>
      <w:pPr>
        <w:pStyle w:val="Heading2"/>
        <w:spacing w:after="110" w:before="220"/>
      </w:pPr>
      <w:r>
        <w:t xml:space="preserve">Debrief prompts</w:t>
      </w:r>
    </w:p>
    <w:p>
      <w:pPr>
        <w:pStyle w:val="ListParagraph"/>
        <w:numPr>
          <w:ilvl w:val="0"/>
          <w:numId w:val="1"/>
        </w:numPr>
        <w:spacing w:after="60"/>
      </w:pPr>
      <w:r>
        <w:t xml:space="preserve">Ask a squad to read their high-confidence statement aloud. Does it name a specific basis, or does it just assert confidence?</w:t>
      </w:r>
    </w:p>
    <w:p>
      <w:pPr>
        <w:pStyle w:val="ListParagraph"/>
        <w:numPr>
          <w:ilvl w:val="0"/>
          <w:numId w:val="1"/>
        </w:numPr>
        <w:spacing w:after="60"/>
      </w:pPr>
      <w:r>
        <w:t xml:space="preserve">Ask what the squad would tell an AUSA still needs to happen before any of this supports a U.S. charge — the answer should surface the international-sharing-mechanism point even for squads who didn't flag it explicitly in Category 2.</w:t>
      </w:r>
    </w:p>
    <w:p>
      <w:pPr>
        <w:pStyle w:val="ListParagraph"/>
        <w:numPr>
          <w:ilvl w:val="0"/>
          <w:numId w:val="1"/>
        </w:numPr>
        <w:spacing w:after="60"/>
      </w:pPr>
      <w:r>
        <w:t xml:space="preserve">Connect forward: this is exactly the analysis structure Friday's capstone disposition decision depends on. A squad that can't produce calibrated, gap-aware statements here will struggle to justify indictment vs. defensive notification vs. joint takedown on Friday.</w:t>
      </w:r>
    </w:p>
    <w:p>
      <w:pPr>
        <w:pStyle w:val="Heading2"/>
        <w:spacing w:after="110" w:before="220"/>
      </w:pPr>
      <w:r>
        <w:t xml:space="preserve">Sources</w:t>
      </w:r>
    </w:p>
    <w:p>
      <w:pPr>
        <w:spacing w:after="110"/>
      </w:pPr>
      <w:r>
        <w:rPr>
          <w:i/>
          <w:iCs/>
        </w:rPr>
        <w:t xml:space="preserve">U.S. Department of Justice press release (May 7, 2024); public reporting and direct quotations from Krebs on Security, CNBC, Courthouse News, TechTarget, Intel471, Cyberint, and Flashpoint. Every quotation above is under 20 words and drawn from these public sources. Where the public record does not disclose specific underlying investigative methods, that is noted as a gap — not filled in with invented detail.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Facilitator Guide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b/>
        <w:bCs/>
        <w:color w:val="444444"/>
        <w:sz w:val="16"/>
        <w:szCs w:val="16"/>
      </w:rPr>
      <w:t xml:space="preserve">UNCLASSIFIED  ·  FBI Cyber Intrusion Investigation Course  ·  Day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2026-09-24T14:05:34.782Z</dcterms:created>
  <dcterms:modified xsi:type="dcterms:W3CDTF">2026-09-24T14:05:34.783Z</dcterms:modified>
</cp:coreProperties>
</file>

<file path=docProps/custom.xml><?xml version="1.0" encoding="utf-8"?>
<Properties xmlns="http://schemas.openxmlformats.org/officeDocument/2006/custom-properties" xmlns:vt="http://schemas.openxmlformats.org/officeDocument/2006/docPropsVTypes"/>
</file>