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4, 1030 WORKSHOP</w:t>
      </w:r>
    </w:p>
    <w:p>
      <w:pPr>
        <w:spacing w:after="60"/>
        <w:jc w:val="center"/>
      </w:pPr>
      <w:r>
        <w:rPr>
          <w:b/>
          <w:bCs/>
          <w:sz w:val="32"/>
          <w:szCs w:val="32"/>
        </w:rPr>
        <w:t xml:space="preserve">Attribution Workshop</w:t>
      </w:r>
    </w:p>
    <w:p>
      <w:pPr>
        <w:spacing w:after="220"/>
        <w:jc w:val="center"/>
      </w:pPr>
      <w:r>
        <w:rPr>
          <w:i/>
          <w:iCs/>
          <w:sz w:val="20"/>
          <w:szCs w:val="20"/>
        </w:rPr>
        <w:t xml:space="preserve">Squad Packet — From Evidence to Actor</w:t>
      </w:r>
    </w:p>
    <w:p>
      <w:pPr>
        <w:spacing w:after="200"/>
        <w:jc w:val="center"/>
      </w:pPr>
      <w:r>
        <w:rPr>
          <w:b/>
          <w:bCs/>
          <w:color w:val="B00000"/>
        </w:rPr>
        <w:t xml:space="preserve">UNCLASSIFIED</w:t>
      </w:r>
    </w:p>
    <w:p>
      <w:pPr>
        <w:pStyle w:val="Heading2"/>
        <w:spacing w:after="110" w:before="220"/>
      </w:pPr>
      <w:r>
        <w:t xml:space="preserve">Your task</w:t>
      </w:r>
    </w:p>
    <w:p>
      <w:pPr>
        <w:spacing w:after="110"/>
      </w:pPr>
      <w:r>
        <w:t xml:space="preserve">This case is independent of Operation BROKERED EXIT — a real, fully public attribution case, used here to practice the skills from this morning's lecture on a fresh fact pattern. Work through the five evidence categories together, applying the same structure the instructor walked on the whiteboard: what we know, how we know it, confidence level, and what would change the assessment. Each category opens with a quick comprehension check before the squad drafts its attribution statement. End by writing three final calibrated confidence statements in the lecture's exact format.</w:t>
      </w:r>
    </w:p>
    <w:p>
      <w:pPr>
        <w:spacing w:after="110"/>
      </w:pPr>
      <w:r>
        <w:t xml:space="preserve">On May 7, 2024, the U.S. Department of Justice unsealed a 26-count indictment identifying Dmitry Yuryevich Khoroshev, 31, of Voronezh, Russia, as the real-world identity behind “LockBitSupp” — the persona that had run the LockBit ransomware-as-a-service operation since 2019 while staying anonymous, including through a public $10 million bounty LockBitSupp himself had once offered for anyone who unmasked him. The U.S. Treasury, the UK's Foreign, Commonwealth and Development Office, and Australia's Department of Foreign Affairs jointly sanctioned him the same day. Below is the public record, organized into the five evidence categories from this morning's lecture. Nothing here states an investigative methodology that isn't public — where the record is silent on how something was learned, that's noted as a gap, not filled in.</w:t>
      </w:r>
    </w:p>
    <w:p>
      <w:pPr>
        <w:pStyle w:val="Heading1"/>
        <w:spacing w:after="140" w:before="280"/>
      </w:pPr>
      <w:r>
        <w:t xml:space="preserve">Framework quick check</w:t>
      </w:r>
    </w:p>
    <w:p>
      <w:pPr>
        <w:spacing w:after="110"/>
      </w:pPr>
      <w:r>
        <w:t xml:space="preserve">Before the case work, confirm your squad has the vocabulary straight:</w:t>
      </w:r>
    </w:p>
    <w:p>
      <w:pPr>
        <w:spacing w:after="110"/>
      </w:pPr>
      <w:r>
        <w:rPr>
          <w:b/>
          <w:bCs/>
        </w:rPr>
        <w:t xml:space="preserve">1. Per the lecture's framework, what must always accompany a stated confidence level?</w:t>
      </w:r>
    </w:p>
    <w:p>
      <w:pPr>
        <w:spacing w:after="40"/>
        <w:ind w:left="360"/>
      </w:pPr>
      <w:r>
        <w:rPr>
          <w:b w:val="false"/>
          <w:bCs w:val="false"/>
          <w:color w:val="000000"/>
        </w:rPr>
        <w:t xml:space="preserve">A. A dollar figure</w:t>
      </w:r>
    </w:p>
    <w:p>
      <w:pPr>
        <w:spacing w:after="40"/>
        <w:ind w:left="360"/>
      </w:pPr>
      <w:r>
        <w:rPr>
          <w:b w:val="false"/>
          <w:bCs w:val="false"/>
          <w:color w:val="000000"/>
        </w:rPr>
        <w:t xml:space="preserve">B. The documented basis for that confidence</w:t>
      </w:r>
    </w:p>
    <w:p>
      <w:pPr>
        <w:spacing w:after="40"/>
        <w:ind w:left="360"/>
      </w:pPr>
      <w:r>
        <w:rPr>
          <w:b w:val="false"/>
          <w:bCs w:val="false"/>
          <w:color w:val="000000"/>
        </w:rPr>
        <w:t xml:space="preserve">C. A classification marking</w:t>
      </w:r>
    </w:p>
    <w:p>
      <w:pPr>
        <w:spacing w:after="40"/>
        <w:ind w:left="360"/>
      </w:pPr>
      <w:r>
        <w:rPr>
          <w:b w:val="false"/>
          <w:bCs w:val="false"/>
          <w:color w:val="000000"/>
        </w:rPr>
        <w:t xml:space="preserve">D. Nothing else is needed</w:t>
      </w:r>
    </w:p>
    <w:p>
      <w:pPr>
        <w:spacing w:after="110"/>
      </w:pPr>
      <w:r>
        <w:t xml:space="preserve"/>
      </w:r>
    </w:p>
    <w:p>
      <w:pPr>
        <w:spacing w:after="110"/>
      </w:pPr>
      <w:r>
        <w:rPr>
          <w:b/>
          <w:bCs/>
        </w:rPr>
        <w:t xml:space="preserve">2. What's wrong with briefing a supervisor that “it's probably them”?</w:t>
      </w:r>
    </w:p>
    <w:p>
      <w:pPr>
        <w:spacing w:after="40"/>
        <w:ind w:left="360"/>
      </w:pPr>
      <w:r>
        <w:rPr>
          <w:b w:val="false"/>
          <w:bCs w:val="false"/>
          <w:color w:val="000000"/>
        </w:rPr>
        <w:t xml:space="preserve">A. Nothing — it's a fine way to brief</w:t>
      </w:r>
    </w:p>
    <w:p>
      <w:pPr>
        <w:spacing w:after="40"/>
        <w:ind w:left="360"/>
      </w:pPr>
      <w:r>
        <w:rPr>
          <w:b w:val="false"/>
          <w:bCs w:val="false"/>
          <w:color w:val="000000"/>
        </w:rPr>
        <w:t xml:space="preserve">B. It uses unanchored probabilistic language that different listeners interpret differently</w:t>
      </w:r>
    </w:p>
    <w:p>
      <w:pPr>
        <w:spacing w:after="40"/>
        <w:ind w:left="360"/>
      </w:pPr>
      <w:r>
        <w:rPr>
          <w:b w:val="false"/>
          <w:bCs w:val="false"/>
          <w:color w:val="000000"/>
        </w:rPr>
        <w:t xml:space="preserve">C. It's overconfident</w:t>
      </w:r>
    </w:p>
    <w:p>
      <w:pPr>
        <w:spacing w:after="40"/>
        <w:ind w:left="360"/>
      </w:pPr>
      <w:r>
        <w:rPr>
          <w:b w:val="false"/>
          <w:bCs w:val="false"/>
          <w:color w:val="000000"/>
        </w:rPr>
        <w:t xml:space="preserve">D. It needs to be classified</w:t>
      </w:r>
    </w:p>
    <w:p>
      <w:pPr>
        <w:spacing w:after="110"/>
      </w:pPr>
      <w:r>
        <w:t xml:space="preserve"/>
      </w:r>
    </w:p>
    <w:p>
      <w:pPr>
        <w:spacing w:after="110"/>
      </w:pPr>
      <w:r>
        <w:rPr>
          <w:b/>
          <w:bCs/>
        </w:rPr>
        <w:t xml:space="preserve">3. Information sourced from sensitive collection that may not be disclosable, and cannot directly support charging without re-derivation, is called ______-quality information.</w:t>
      </w:r>
    </w:p>
    <w:p>
      <w:pPr>
        <w:pBdr>
          <w:bottom w:val="single" w:color="AAAAAA" w:sz="4"/>
        </w:pBdr>
        <w:spacing w:after="140"/>
      </w:pPr>
      <w:r>
        <w:t xml:space="preserve"> </w:t>
      </w:r>
    </w:p>
    <w:p>
      <w:pPr>
        <w:spacing w:after="110"/>
      </w:pPr>
      <w:r>
        <w:t xml:space="preserve"/>
      </w:r>
    </w:p>
    <w:p>
      <w:pPr>
        <w:spacing w:after="110"/>
      </w:pPr>
      <w:r>
        <w:rPr>
          <w:b/>
          <w:bCs/>
        </w:rPr>
        <w:t xml:space="preserve">4. Building a separate, lawful evidentiary record for facts originally surfaced through other means is called ______ ______.</w:t>
      </w:r>
    </w:p>
    <w:p>
      <w:pPr>
        <w:pBdr>
          <w:bottom w:val="single" w:color="AAAAAA" w:sz="4"/>
        </w:pBdr>
        <w:spacing w:after="140"/>
      </w:pPr>
      <w:r>
        <w:t xml:space="preserve"> </w:t>
      </w:r>
    </w:p>
    <w:p>
      <w:pPr>
        <w:spacing w:after="110"/>
      </w:pPr>
      <w:r>
        <w:t xml:space="preserve"/>
      </w:r>
    </w:p>
    <w:p>
      <w:pPr>
        <w:pStyle w:val="Heading1"/>
        <w:spacing w:after="140" w:before="280"/>
      </w:pPr>
      <w:r>
        <w:t xml:space="preserve">The five evidence categories</w:t>
      </w:r>
    </w:p>
    <w:p>
      <w:pPr>
        <w:pStyle w:val="Heading3"/>
        <w:spacing w:after="80" w:before="160"/>
      </w:pPr>
      <w:r>
        <w:t xml:space="preserve">Category 1 — Persona / forum identity</w:t>
      </w:r>
    </w:p>
    <w:p>
      <w:pPr>
        <w:pStyle w:val="ListParagraph"/>
        <w:numPr>
          <w:ilvl w:val="0"/>
          <w:numId w:val="1"/>
        </w:numPr>
        <w:spacing w:after="60"/>
      </w:pPr>
      <w:r>
        <w:t xml:space="preserve">The indictment names Khoroshev as “also known as LockBitSupp, LockBit, and putinkrab.”</w:t>
      </w:r>
    </w:p>
    <w:p>
      <w:pPr>
        <w:pStyle w:val="ListParagraph"/>
        <w:numPr>
          <w:ilvl w:val="0"/>
          <w:numId w:val="1"/>
        </w:numPr>
        <w:spacing w:after="60"/>
      </w:pPr>
      <w:r>
        <w:t xml:space="preserve">U.S. Attorney Philip Sellinger, at the announcement: Khoroshev “thought he could [operate] hidden by his notorious moniker ‘LockBitSupp,’ anonymous and free of any consequence.”</w:t>
      </w:r>
    </w:p>
    <w:p>
      <w:pPr>
        <w:pStyle w:val="ListParagraph"/>
        <w:numPr>
          <w:ilvl w:val="0"/>
          <w:numId w:val="1"/>
        </w:numPr>
        <w:spacing w:after="60"/>
      </w:pPr>
      <w:r>
        <w:t xml:space="preserve">LockBitSupp had a long public track record as LockBit's spokesperson — negotiating with victims, posting on forums, and publicly taunting law enforcement — all under the persona, never under a real name.</w:t>
      </w:r>
    </w:p>
    <w:p>
      <w:pPr>
        <w:spacing w:after="110"/>
      </w:pPr>
      <w:r>
        <w:rPr>
          <w:b/>
          <w:bCs/>
        </w:rPr>
        <w:t xml:space="preserve">Quick check:</w:t>
      </w:r>
    </w:p>
    <w:p>
      <w:pPr>
        <w:spacing w:after="110"/>
      </w:pPr>
      <w:r>
        <w:rPr>
          <w:b/>
          <w:bCs/>
        </w:rPr>
        <w:t xml:space="preserve">1. What aliases does the indictment name together with LockBitSupp?</w:t>
      </w:r>
    </w:p>
    <w:p>
      <w:pPr>
        <w:spacing w:after="40"/>
        <w:ind w:left="360"/>
      </w:pPr>
      <w:r>
        <w:rPr>
          <w:b w:val="false"/>
          <w:bCs w:val="false"/>
          <w:color w:val="000000"/>
        </w:rPr>
        <w:t xml:space="preserve">A. putinkrab and LockBit</w:t>
      </w:r>
    </w:p>
    <w:p>
      <w:pPr>
        <w:spacing w:after="40"/>
        <w:ind w:left="360"/>
      </w:pPr>
      <w:r>
        <w:rPr>
          <w:b w:val="false"/>
          <w:bCs w:val="false"/>
          <w:color w:val="000000"/>
        </w:rPr>
        <w:t xml:space="preserve">B. DarkSide and REvil</w:t>
      </w:r>
    </w:p>
    <w:p>
      <w:pPr>
        <w:spacing w:after="40"/>
        <w:ind w:left="360"/>
      </w:pPr>
      <w:r>
        <w:rPr>
          <w:b w:val="false"/>
          <w:bCs w:val="false"/>
          <w:color w:val="000000"/>
        </w:rPr>
        <w:t xml:space="preserve">C. Conti and Ryuk</w:t>
      </w:r>
    </w:p>
    <w:p>
      <w:pPr>
        <w:spacing w:after="40"/>
        <w:ind w:left="360"/>
      </w:pPr>
      <w:r>
        <w:rPr>
          <w:b w:val="false"/>
          <w:bCs w:val="false"/>
          <w:color w:val="000000"/>
        </w:rPr>
        <w:t xml:space="preserve">D. No other aliases are named</w:t>
      </w:r>
    </w:p>
    <w:p>
      <w:pPr>
        <w:spacing w:after="110"/>
      </w:pPr>
      <w:r>
        <w:t xml:space="preserve"/>
      </w:r>
    </w:p>
    <w:p>
      <w:pPr>
        <w:spacing w:after="110"/>
      </w:pPr>
      <w:r>
        <w:rPr>
          <w:b/>
          <w:bCs/>
        </w:rPr>
        <w:t xml:space="preserve">2. By itself, what does years of consistent persona activity establish?</w:t>
      </w:r>
    </w:p>
    <w:p>
      <w:pPr>
        <w:spacing w:after="40"/>
        <w:ind w:left="360"/>
      </w:pPr>
      <w:r>
        <w:rPr>
          <w:b w:val="false"/>
          <w:bCs w:val="false"/>
          <w:color w:val="000000"/>
        </w:rPr>
        <w:t xml:space="preserve">A. The real-world identity behind the persona</w:t>
      </w:r>
    </w:p>
    <w:p>
      <w:pPr>
        <w:spacing w:after="40"/>
        <w:ind w:left="360"/>
      </w:pPr>
      <w:r>
        <w:rPr>
          <w:b w:val="false"/>
          <w:bCs w:val="false"/>
          <w:color w:val="000000"/>
        </w:rPr>
        <w:t xml:space="preserve">B. That one persona has been operated consistently over time — not who operates it</w:t>
      </w:r>
    </w:p>
    <w:p>
      <w:pPr>
        <w:spacing w:after="40"/>
        <w:ind w:left="360"/>
      </w:pPr>
      <w:r>
        <w:rPr>
          <w:b w:val="false"/>
          <w:bCs w:val="false"/>
          <w:color w:val="000000"/>
        </w:rPr>
        <w:t xml:space="preserve">C. Nothing usable at all</w:t>
      </w:r>
    </w:p>
    <w:p>
      <w:pPr>
        <w:spacing w:after="40"/>
        <w:ind w:left="360"/>
      </w:pPr>
      <w:r>
        <w:rPr>
          <w:b w:val="false"/>
          <w:bCs w:val="false"/>
          <w:color w:val="000000"/>
        </w:rPr>
        <w:t xml:space="preserve">D. A criminal conviction</w:t>
      </w:r>
    </w:p>
    <w:p>
      <w:pPr>
        <w:spacing w:after="110"/>
      </w:pPr>
      <w:r>
        <w:t xml:space="preserve"/>
      </w:r>
    </w:p>
    <w:p>
      <w:pPr>
        <w:spacing w:after="110"/>
      </w:pPr>
      <w:r>
        <w:rPr>
          <w:b/>
          <w:bCs/>
        </w:rPr>
        <w:t xml:space="preserve">3. LockBitSupp had previously offered a $______ bounty to anyone who could unmask his real identity.</w:t>
      </w:r>
    </w:p>
    <w:p>
      <w:pPr>
        <w:pBdr>
          <w:bottom w:val="single" w:color="AAAAAA" w:sz="4"/>
        </w:pBdr>
        <w:spacing w:after="140"/>
      </w:pPr>
      <w:r>
        <w:t xml:space="preserve"> </w:t>
      </w:r>
    </w:p>
    <w:p>
      <w:pPr>
        <w:spacing w:after="110"/>
      </w:pPr>
      <w:r>
        <w:t xml:space="preserve"/>
      </w:r>
    </w:p>
    <w:p>
      <w:pPr>
        <w:spacing w:after="110"/>
      </w:pPr>
      <w:r>
        <w:rPr>
          <w:b/>
          <w:bCs/>
          <w:i/>
          <w:iCs/>
        </w:rPr>
        <w:t xml:space="preserve">Draft the attribution statement for this category: what the persona's public track record establishes, at what confidence, and what it does NOT establish on its own.</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Category 2 — Infrastructure</w:t>
      </w:r>
    </w:p>
    <w:p>
      <w:pPr>
        <w:pStyle w:val="ListParagraph"/>
        <w:numPr>
          <w:ilvl w:val="0"/>
          <w:numId w:val="1"/>
        </w:numPr>
        <w:spacing w:after="60"/>
      </w:pPr>
      <w:r>
        <w:t xml:space="preserve">In February 2024, the UK's National Crime Agency (NCA) led “Operation Cronos,” seizing LockBit's public-facing websites and the servers used by LockBit administrators, in cooperation with the DOJ, FBI, and other international partners.</w:t>
      </w:r>
    </w:p>
    <w:p>
      <w:pPr>
        <w:pStyle w:val="ListParagraph"/>
        <w:numPr>
          <w:ilvl w:val="0"/>
          <w:numId w:val="1"/>
        </w:numPr>
        <w:spacing w:after="60"/>
      </w:pPr>
      <w:r>
        <w:t xml:space="preserve">From the infrastructure seized in February, law enforcement found evidence Khoroshev's group “retained copies of stolen data from victims who paid the ransom,” despite promising deletion.</w:t>
      </w:r>
    </w:p>
    <w:p>
      <w:pPr>
        <w:pStyle w:val="ListParagraph"/>
        <w:numPr>
          <w:ilvl w:val="0"/>
          <w:numId w:val="1"/>
        </w:numPr>
        <w:spacing w:after="60"/>
      </w:pPr>
      <w:r>
        <w:t xml:space="preserve">The May indictment followed roughly three months after the February infrastructure seizure.</w:t>
      </w:r>
    </w:p>
    <w:p>
      <w:pPr>
        <w:spacing w:after="110"/>
      </w:pPr>
      <w:r>
        <w:rPr>
          <w:b/>
          <w:bCs/>
        </w:rPr>
        <w:t xml:space="preserve">Quick check:</w:t>
      </w:r>
    </w:p>
    <w:p>
      <w:pPr>
        <w:spacing w:after="110"/>
      </w:pPr>
      <w:r>
        <w:rPr>
          <w:b/>
          <w:bCs/>
        </w:rPr>
        <w:t xml:space="preserve">1. Who led the February 2024 operation that seized LockBit's infrastructure?</w:t>
      </w:r>
    </w:p>
    <w:p>
      <w:pPr>
        <w:spacing w:after="40"/>
        <w:ind w:left="360"/>
      </w:pPr>
      <w:r>
        <w:rPr>
          <w:b w:val="false"/>
          <w:bCs w:val="false"/>
          <w:color w:val="000000"/>
        </w:rPr>
        <w:t xml:space="preserve">A. The FBI, acting alone</w:t>
      </w:r>
    </w:p>
    <w:p>
      <w:pPr>
        <w:spacing w:after="40"/>
        <w:ind w:left="360"/>
      </w:pPr>
      <w:r>
        <w:rPr>
          <w:b w:val="false"/>
          <w:bCs w:val="false"/>
          <w:color w:val="000000"/>
        </w:rPr>
        <w:t xml:space="preserve">B. The UK's National Crime Agency (NCA)</w:t>
      </w:r>
    </w:p>
    <w:p>
      <w:pPr>
        <w:spacing w:after="40"/>
        <w:ind w:left="360"/>
      </w:pPr>
      <w:r>
        <w:rPr>
          <w:b w:val="false"/>
          <w:bCs w:val="false"/>
          <w:color w:val="000000"/>
        </w:rPr>
        <w:t xml:space="preserve">C. Europol</w:t>
      </w:r>
    </w:p>
    <w:p>
      <w:pPr>
        <w:spacing w:after="40"/>
        <w:ind w:left="360"/>
      </w:pPr>
      <w:r>
        <w:rPr>
          <w:b w:val="false"/>
          <w:bCs w:val="false"/>
          <w:color w:val="000000"/>
        </w:rPr>
        <w:t xml:space="preserve">D. The Australian Federal Police</w:t>
      </w:r>
    </w:p>
    <w:p>
      <w:pPr>
        <w:spacing w:after="110"/>
      </w:pPr>
      <w:r>
        <w:t xml:space="preserve"/>
      </w:r>
    </w:p>
    <w:p>
      <w:pPr>
        <w:spacing w:after="110"/>
      </w:pPr>
      <w:r>
        <w:rPr>
          <w:b/>
          <w:bCs/>
        </w:rPr>
        <w:t xml:space="preserve">2. What did investigators find in the seized infrastructure regarding victim data?</w:t>
      </w:r>
    </w:p>
    <w:p>
      <w:pPr>
        <w:spacing w:after="40"/>
        <w:ind w:left="360"/>
      </w:pPr>
      <w:r>
        <w:rPr>
          <w:b w:val="false"/>
          <w:bCs w:val="false"/>
          <w:color w:val="000000"/>
        </w:rPr>
        <w:t xml:space="preserve">A. It had been fully deleted as promised</w:t>
      </w:r>
    </w:p>
    <w:p>
      <w:pPr>
        <w:spacing w:after="40"/>
        <w:ind w:left="360"/>
      </w:pPr>
      <w:r>
        <w:rPr>
          <w:b w:val="false"/>
          <w:bCs w:val="false"/>
          <w:color w:val="000000"/>
        </w:rPr>
        <w:t xml:space="preserve">B. Copies were retained despite promises of deletion</w:t>
      </w:r>
    </w:p>
    <w:p>
      <w:pPr>
        <w:spacing w:after="40"/>
        <w:ind w:left="360"/>
      </w:pPr>
      <w:r>
        <w:rPr>
          <w:b w:val="false"/>
          <w:bCs w:val="false"/>
          <w:color w:val="000000"/>
        </w:rPr>
        <w:t xml:space="preserve">C. It was unreadable due to encryption</w:t>
      </w:r>
    </w:p>
    <w:p>
      <w:pPr>
        <w:spacing w:after="40"/>
        <w:ind w:left="360"/>
      </w:pPr>
      <w:r>
        <w:rPr>
          <w:b w:val="false"/>
          <w:bCs w:val="false"/>
          <w:color w:val="000000"/>
        </w:rPr>
        <w:t xml:space="preserve">D. No victim data was ever present</w:t>
      </w:r>
    </w:p>
    <w:p>
      <w:pPr>
        <w:spacing w:after="110"/>
      </w:pPr>
      <w:r>
        <w:t xml:space="preserve"/>
      </w:r>
    </w:p>
    <w:p>
      <w:pPr>
        <w:spacing w:after="110"/>
      </w:pPr>
      <w:r>
        <w:rPr>
          <w:b/>
          <w:bCs/>
        </w:rPr>
        <w:t xml:space="preserve">3. The February infrastructure seizure was code-named Operation ______.</w:t>
      </w:r>
    </w:p>
    <w:p>
      <w:pPr>
        <w:pBdr>
          <w:bottom w:val="single" w:color="AAAAAA" w:sz="4"/>
        </w:pBdr>
        <w:spacing w:after="140"/>
      </w:pPr>
      <w:r>
        <w:t xml:space="preserve"> </w:t>
      </w:r>
    </w:p>
    <w:p>
      <w:pPr>
        <w:spacing w:after="110"/>
      </w:pPr>
      <w:r>
        <w:t xml:space="preserve"/>
      </w:r>
    </w:p>
    <w:p>
      <w:pPr>
        <w:spacing w:after="110"/>
      </w:pPr>
      <w:r>
        <w:rPr>
          <w:b/>
          <w:bCs/>
          <w:i/>
          <w:iCs/>
        </w:rPr>
        <w:t xml:space="preserve">Draft the attribution statement for this category, and separately answer: was the February server seizure itself a U.S. criminal-process action?</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Category 3 — Customer / affiliate relationships</w:t>
      </w:r>
    </w:p>
    <w:p>
      <w:pPr>
        <w:pStyle w:val="ListParagraph"/>
        <w:numPr>
          <w:ilvl w:val="0"/>
          <w:numId w:val="1"/>
        </w:numPr>
        <w:spacing w:after="60"/>
      </w:pPr>
      <w:r>
        <w:t xml:space="preserve">LockBit operated as ransomware-as-a-service: affiliates kept 80% of each ransom and paid LockBit's operators the remaining 20% for use of the malware and infrastructure.</w:t>
      </w:r>
    </w:p>
    <w:p>
      <w:pPr>
        <w:pStyle w:val="ListParagraph"/>
        <w:numPr>
          <w:ilvl w:val="0"/>
          <w:numId w:val="1"/>
        </w:numPr>
        <w:spacing w:after="60"/>
      </w:pPr>
      <w:r>
        <w:t xml:space="preserve">Khoroshev is one of at least seven people charged as LockBit members in the District of New Jersey, including Artur Sungatov, Mikhail Vasiliev, Ruslan Astamirov, Mikhail Matveev, and others named across a series of related indictments.</w:t>
      </w:r>
    </w:p>
    <w:p>
      <w:pPr>
        <w:pStyle w:val="ListParagraph"/>
        <w:numPr>
          <w:ilvl w:val="0"/>
          <w:numId w:val="1"/>
        </w:numPr>
        <w:spacing w:after="60"/>
      </w:pPr>
      <w:r>
        <w:t xml:space="preserve">The DOJ described Khoroshev specifically as LockBit's “creator, developer, and primary operator” — a different role than the affiliates who deployed the ransomware against individual victims.</w:t>
      </w:r>
    </w:p>
    <w:p>
      <w:pPr>
        <w:spacing w:after="110"/>
      </w:pPr>
      <w:r>
        <w:rPr>
          <w:b/>
          <w:bCs/>
        </w:rPr>
        <w:t xml:space="preserve">Quick check:</w:t>
      </w:r>
    </w:p>
    <w:p>
      <w:pPr>
        <w:spacing w:after="110"/>
      </w:pPr>
      <w:r>
        <w:rPr>
          <w:b/>
          <w:bCs/>
        </w:rPr>
        <w:t xml:space="preserve">1. Under LockBit's RaaS model, what share did affiliates keep of each ransom?</w:t>
      </w:r>
    </w:p>
    <w:p>
      <w:pPr>
        <w:spacing w:after="40"/>
        <w:ind w:left="360"/>
      </w:pPr>
      <w:r>
        <w:rPr>
          <w:b w:val="false"/>
          <w:bCs w:val="false"/>
          <w:color w:val="000000"/>
        </w:rPr>
        <w:t xml:space="preserve">A. 50%</w:t>
      </w:r>
    </w:p>
    <w:p>
      <w:pPr>
        <w:spacing w:after="40"/>
        <w:ind w:left="360"/>
      </w:pPr>
      <w:r>
        <w:rPr>
          <w:b w:val="false"/>
          <w:bCs w:val="false"/>
          <w:color w:val="000000"/>
        </w:rPr>
        <w:t xml:space="preserve">B. 80%</w:t>
      </w:r>
    </w:p>
    <w:p>
      <w:pPr>
        <w:spacing w:after="40"/>
        <w:ind w:left="360"/>
      </w:pPr>
      <w:r>
        <w:rPr>
          <w:b w:val="false"/>
          <w:bCs w:val="false"/>
          <w:color w:val="000000"/>
        </w:rPr>
        <w:t xml:space="preserve">C. 20%</w:t>
      </w:r>
    </w:p>
    <w:p>
      <w:pPr>
        <w:spacing w:after="40"/>
        <w:ind w:left="360"/>
      </w:pPr>
      <w:r>
        <w:rPr>
          <w:b w:val="false"/>
          <w:bCs w:val="false"/>
          <w:color w:val="000000"/>
        </w:rPr>
        <w:t xml:space="preserve">D. 100%</w:t>
      </w:r>
    </w:p>
    <w:p>
      <w:pPr>
        <w:spacing w:after="110"/>
      </w:pPr>
      <w:r>
        <w:t xml:space="preserve"/>
      </w:r>
    </w:p>
    <w:p>
      <w:pPr>
        <w:spacing w:after="110"/>
      </w:pPr>
      <w:r>
        <w:rPr>
          <w:b/>
          <w:bCs/>
        </w:rPr>
        <w:t xml:space="preserve">2. What was Khoroshev's alleged role, distinct from the affiliates?</w:t>
      </w:r>
    </w:p>
    <w:p>
      <w:pPr>
        <w:spacing w:after="40"/>
        <w:ind w:left="360"/>
      </w:pPr>
      <w:r>
        <w:rPr>
          <w:b w:val="false"/>
          <w:bCs w:val="false"/>
          <w:color w:val="000000"/>
        </w:rPr>
        <w:t xml:space="preserve">A. A victim</w:t>
      </w:r>
    </w:p>
    <w:p>
      <w:pPr>
        <w:spacing w:after="40"/>
        <w:ind w:left="360"/>
      </w:pPr>
      <w:r>
        <w:rPr>
          <w:b w:val="false"/>
          <w:bCs w:val="false"/>
          <w:color w:val="000000"/>
        </w:rPr>
        <w:t xml:space="preserve">B. Creator, developer, and primary operator</w:t>
      </w:r>
    </w:p>
    <w:p>
      <w:pPr>
        <w:spacing w:after="40"/>
        <w:ind w:left="360"/>
      </w:pPr>
      <w:r>
        <w:rPr>
          <w:b w:val="false"/>
          <w:bCs w:val="false"/>
          <w:color w:val="000000"/>
        </w:rPr>
        <w:t xml:space="preserve">C. A negotiator only, with no technical role</w:t>
      </w:r>
    </w:p>
    <w:p>
      <w:pPr>
        <w:spacing w:after="40"/>
        <w:ind w:left="360"/>
      </w:pPr>
      <w:r>
        <w:rPr>
          <w:b w:val="false"/>
          <w:bCs w:val="false"/>
          <w:color w:val="000000"/>
        </w:rPr>
        <w:t xml:space="preserve">D. An unrelated bystander</w:t>
      </w:r>
    </w:p>
    <w:p>
      <w:pPr>
        <w:spacing w:after="110"/>
      </w:pPr>
      <w:r>
        <w:t xml:space="preserve"/>
      </w:r>
    </w:p>
    <w:p>
      <w:pPr>
        <w:spacing w:after="110"/>
      </w:pPr>
      <w:r>
        <w:rPr>
          <w:b/>
          <w:bCs/>
        </w:rPr>
        <w:t xml:space="preserve">3. At least ______ people had been charged as LockBit members across the related indictments.</w:t>
      </w:r>
    </w:p>
    <w:p>
      <w:pPr>
        <w:pBdr>
          <w:bottom w:val="single" w:color="AAAAAA" w:sz="4"/>
        </w:pBdr>
        <w:spacing w:after="140"/>
      </w:pPr>
      <w:r>
        <w:t xml:space="preserve"> </w:t>
      </w:r>
    </w:p>
    <w:p>
      <w:pPr>
        <w:spacing w:after="110"/>
      </w:pPr>
      <w:r>
        <w:t xml:space="preserve"/>
      </w:r>
    </w:p>
    <w:p>
      <w:pPr>
        <w:spacing w:after="110"/>
      </w:pPr>
      <w:r>
        <w:rPr>
          <w:b/>
          <w:bCs/>
          <w:i/>
          <w:iCs/>
        </w:rPr>
        <w:t xml:space="preserve">Draft the attribution statement distinguishing Khoroshev's alleged role from the affiliates' roles, and state your confidence that LockBit was an organized service rather than a loose collection of individuals.</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Category 4 — Real-world identity</w:t>
      </w:r>
    </w:p>
    <w:p>
      <w:pPr>
        <w:pStyle w:val="ListParagraph"/>
        <w:numPr>
          <w:ilvl w:val="0"/>
          <w:numId w:val="1"/>
        </w:numPr>
        <w:spacing w:after="60"/>
      </w:pPr>
      <w:r>
        <w:t xml:space="preserve">The indictment names “Dmitry Yuryevich Khoroshev (Дмитрий Юрьевич Хорошев), also known as LockBitSupp, LockBit, and putinkrab, 31, of Voronezh, Russia.”</w:t>
      </w:r>
    </w:p>
    <w:p>
      <w:pPr>
        <w:pStyle w:val="ListParagraph"/>
        <w:numPr>
          <w:ilvl w:val="0"/>
          <w:numId w:val="1"/>
        </w:numPr>
        <w:spacing w:after="60"/>
      </w:pPr>
      <w:r>
        <w:t xml:space="preserve">The U.S. State Department announced a reward of up to $10 million for information leading to his arrest.</w:t>
      </w:r>
    </w:p>
    <w:p>
      <w:pPr>
        <w:pStyle w:val="ListParagraph"/>
        <w:numPr>
          <w:ilvl w:val="0"/>
          <w:numId w:val="1"/>
        </w:numPr>
        <w:spacing w:after="60"/>
      </w:pPr>
      <w:r>
        <w:t xml:space="preserve">As of the indictment's unsealing, Khoroshev had not been arrested and remained in Russia — the charges and sanctions did not depend on custody.</w:t>
      </w:r>
    </w:p>
    <w:p>
      <w:pPr>
        <w:spacing w:after="110"/>
      </w:pPr>
      <w:r>
        <w:rPr>
          <w:b/>
          <w:bCs/>
        </w:rPr>
        <w:t xml:space="preserve">Quick check:</w:t>
      </w:r>
    </w:p>
    <w:p>
      <w:pPr>
        <w:spacing w:after="110"/>
      </w:pPr>
      <w:r>
        <w:rPr>
          <w:b/>
          <w:bCs/>
        </w:rPr>
        <w:t xml:space="preserve">1. Which countries jointly announced sanctions against Khoroshev?</w:t>
      </w:r>
    </w:p>
    <w:p>
      <w:pPr>
        <w:spacing w:after="40"/>
        <w:ind w:left="360"/>
      </w:pPr>
      <w:r>
        <w:rPr>
          <w:b w:val="false"/>
          <w:bCs w:val="false"/>
          <w:color w:val="000000"/>
        </w:rPr>
        <w:t xml:space="preserve">A. U.S., UK, and Australia</w:t>
      </w:r>
    </w:p>
    <w:p>
      <w:pPr>
        <w:spacing w:after="40"/>
        <w:ind w:left="360"/>
      </w:pPr>
      <w:r>
        <w:rPr>
          <w:b w:val="false"/>
          <w:bCs w:val="false"/>
          <w:color w:val="000000"/>
        </w:rPr>
        <w:t xml:space="preserve">B. U.S. only</w:t>
      </w:r>
    </w:p>
    <w:p>
      <w:pPr>
        <w:spacing w:after="40"/>
        <w:ind w:left="360"/>
      </w:pPr>
      <w:r>
        <w:rPr>
          <w:b w:val="false"/>
          <w:bCs w:val="false"/>
          <w:color w:val="000000"/>
        </w:rPr>
        <w:t xml:space="preserve">C. UK and Canada</w:t>
      </w:r>
    </w:p>
    <w:p>
      <w:pPr>
        <w:spacing w:after="40"/>
        <w:ind w:left="360"/>
      </w:pPr>
      <w:r>
        <w:rPr>
          <w:b w:val="false"/>
          <w:bCs w:val="false"/>
          <w:color w:val="000000"/>
        </w:rPr>
        <w:t xml:space="preserve">D. U.S. and Russia</w:t>
      </w:r>
    </w:p>
    <w:p>
      <w:pPr>
        <w:spacing w:after="110"/>
      </w:pPr>
      <w:r>
        <w:t xml:space="preserve"/>
      </w:r>
    </w:p>
    <w:p>
      <w:pPr>
        <w:spacing w:after="110"/>
      </w:pPr>
      <w:r>
        <w:rPr>
          <w:b/>
          <w:bCs/>
        </w:rPr>
        <w:t xml:space="preserve">2. What is Khoroshev's custody status as of the indictment's unsealing?</w:t>
      </w:r>
    </w:p>
    <w:p>
      <w:pPr>
        <w:spacing w:after="40"/>
        <w:ind w:left="360"/>
      </w:pPr>
      <w:r>
        <w:rPr>
          <w:b w:val="false"/>
          <w:bCs w:val="false"/>
          <w:color w:val="000000"/>
        </w:rPr>
        <w:t xml:space="preserve">A. Convicted and imprisoned</w:t>
      </w:r>
    </w:p>
    <w:p>
      <w:pPr>
        <w:spacing w:after="40"/>
        <w:ind w:left="360"/>
      </w:pPr>
      <w:r>
        <w:rPr>
          <w:b w:val="false"/>
          <w:bCs w:val="false"/>
          <w:color w:val="000000"/>
        </w:rPr>
        <w:t xml:space="preserve">B. Arrested and awaiting trial</w:t>
      </w:r>
    </w:p>
    <w:p>
      <w:pPr>
        <w:spacing w:after="40"/>
        <w:ind w:left="360"/>
      </w:pPr>
      <w:r>
        <w:rPr>
          <w:b w:val="false"/>
          <w:bCs w:val="false"/>
          <w:color w:val="000000"/>
        </w:rPr>
        <w:t xml:space="preserve">C. Not arrested; remains at large</w:t>
      </w:r>
    </w:p>
    <w:p>
      <w:pPr>
        <w:spacing w:after="40"/>
        <w:ind w:left="360"/>
      </w:pPr>
      <w:r>
        <w:rPr>
          <w:b w:val="false"/>
          <w:bCs w:val="false"/>
          <w:color w:val="000000"/>
        </w:rPr>
        <w:t xml:space="preserve">D. Extradited to the U.S.</w:t>
      </w:r>
    </w:p>
    <w:p>
      <w:pPr>
        <w:spacing w:after="110"/>
      </w:pPr>
      <w:r>
        <w:t xml:space="preserve"/>
      </w:r>
    </w:p>
    <w:p>
      <w:pPr>
        <w:spacing w:after="110"/>
      </w:pPr>
      <w:r>
        <w:rPr>
          <w:b/>
          <w:bCs/>
        </w:rPr>
        <w:t xml:space="preserve">3. Khoroshev is a resident of ______, Russia.</w:t>
      </w:r>
    </w:p>
    <w:p>
      <w:pPr>
        <w:pBdr>
          <w:bottom w:val="single" w:color="AAAAAA" w:sz="4"/>
        </w:pBdr>
        <w:spacing w:after="140"/>
      </w:pPr>
      <w:r>
        <w:t xml:space="preserve"> </w:t>
      </w:r>
    </w:p>
    <w:p>
      <w:pPr>
        <w:spacing w:after="110"/>
      </w:pPr>
      <w:r>
        <w:t xml:space="preserve"/>
      </w:r>
    </w:p>
    <w:p>
      <w:pPr>
        <w:spacing w:after="110"/>
      </w:pPr>
      <w:r>
        <w:rPr>
          <w:b/>
          <w:bCs/>
          <w:i/>
          <w:iCs/>
        </w:rPr>
        <w:t xml:space="preserve">Draft the attribution statement for the real-name-to-persona link specifically, and separately state what this category does NOT include (the reward and remaining-at-large status).</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Category 5 — Foreign partner threads</w:t>
      </w:r>
    </w:p>
    <w:p>
      <w:pPr>
        <w:pStyle w:val="ListParagraph"/>
        <w:numPr>
          <w:ilvl w:val="0"/>
          <w:numId w:val="1"/>
        </w:numPr>
        <w:spacing w:after="60"/>
      </w:pPr>
      <w:r>
        <w:t xml:space="preserve">The February 2024 infrastructure takedown was led by the UK's National Crime Agency Cyber Division, “in cooperation with the Justice Department, FBI, and other international law enforcement partners.”</w:t>
      </w:r>
    </w:p>
    <w:p>
      <w:pPr>
        <w:pStyle w:val="ListParagraph"/>
        <w:numPr>
          <w:ilvl w:val="0"/>
          <w:numId w:val="1"/>
        </w:numPr>
        <w:spacing w:after="60"/>
      </w:pPr>
      <w:r>
        <w:t xml:space="preserve">Sanctions were announced jointly and simultaneously by the U.S. Treasury's OFAC, the UK's Foreign, Commonwealth and Development Office, and Australia's Department of Foreign Affairs and Trade.</w:t>
      </w:r>
    </w:p>
    <w:p>
      <w:pPr>
        <w:pStyle w:val="ListParagraph"/>
        <w:numPr>
          <w:ilvl w:val="0"/>
          <w:numId w:val="1"/>
        </w:numPr>
        <w:spacing w:after="60"/>
      </w:pPr>
      <w:r>
        <w:t xml:space="preserve">FBI Director Christopher Wray tied the May indictment directly to the February NCA-led disruption as one continuous effort.</w:t>
      </w:r>
    </w:p>
    <w:p>
      <w:pPr>
        <w:spacing w:after="110"/>
      </w:pPr>
      <w:r>
        <w:rPr>
          <w:b/>
          <w:bCs/>
        </w:rPr>
        <w:t xml:space="preserve">Quick check:</w:t>
      </w:r>
    </w:p>
    <w:p>
      <w:pPr>
        <w:spacing w:after="110"/>
      </w:pPr>
      <w:r>
        <w:rPr>
          <w:b/>
          <w:bCs/>
        </w:rPr>
        <w:t xml:space="preserve">1. Which U.S. agency's sanctions arm joined the joint action?</w:t>
      </w:r>
    </w:p>
    <w:p>
      <w:pPr>
        <w:spacing w:after="40"/>
        <w:ind w:left="360"/>
      </w:pPr>
      <w:r>
        <w:rPr>
          <w:b w:val="false"/>
          <w:bCs w:val="false"/>
          <w:color w:val="000000"/>
        </w:rPr>
        <w:t xml:space="preserve">A. Department of Commerce</w:t>
      </w:r>
    </w:p>
    <w:p>
      <w:pPr>
        <w:spacing w:after="40"/>
        <w:ind w:left="360"/>
      </w:pPr>
      <w:r>
        <w:rPr>
          <w:b w:val="false"/>
          <w:bCs w:val="false"/>
          <w:color w:val="000000"/>
        </w:rPr>
        <w:t xml:space="preserve">B. Treasury's Office of Foreign Assets Control (OFAC)</w:t>
      </w:r>
    </w:p>
    <w:p>
      <w:pPr>
        <w:spacing w:after="40"/>
        <w:ind w:left="360"/>
      </w:pPr>
      <w:r>
        <w:rPr>
          <w:b w:val="false"/>
          <w:bCs w:val="false"/>
          <w:color w:val="000000"/>
        </w:rPr>
        <w:t xml:space="preserve">C. Department of Labor</w:t>
      </w:r>
    </w:p>
    <w:p>
      <w:pPr>
        <w:spacing w:after="40"/>
        <w:ind w:left="360"/>
      </w:pPr>
      <w:r>
        <w:rPr>
          <w:b w:val="false"/>
          <w:bCs w:val="false"/>
          <w:color w:val="000000"/>
        </w:rPr>
        <w:t xml:space="preserve">D. The SEC</w:t>
      </w:r>
    </w:p>
    <w:p>
      <w:pPr>
        <w:spacing w:after="110"/>
      </w:pPr>
      <w:r>
        <w:t xml:space="preserve"/>
      </w:r>
    </w:p>
    <w:p>
      <w:pPr>
        <w:spacing w:after="110"/>
      </w:pPr>
      <w:r>
        <w:rPr>
          <w:b/>
          <w:bCs/>
        </w:rPr>
        <w:t xml:space="preserve">2. Why might three countries' agreement NOT represent fully independent confirmation?</w:t>
      </w:r>
    </w:p>
    <w:p>
      <w:pPr>
        <w:spacing w:after="40"/>
        <w:ind w:left="360"/>
      </w:pPr>
      <w:r>
        <w:rPr>
          <w:b w:val="false"/>
          <w:bCs w:val="false"/>
          <w:color w:val="000000"/>
        </w:rPr>
        <w:t xml:space="preserve">A. They didn't actually agree</w:t>
      </w:r>
    </w:p>
    <w:p>
      <w:pPr>
        <w:spacing w:after="40"/>
        <w:ind w:left="360"/>
      </w:pPr>
      <w:r>
        <w:rPr>
          <w:b w:val="false"/>
          <w:bCs w:val="false"/>
          <w:color w:val="000000"/>
        </w:rPr>
        <w:t xml:space="preserve">B. They may substantially share the same underlying seized material from one joint operation</w:t>
      </w:r>
    </w:p>
    <w:p>
      <w:pPr>
        <w:spacing w:after="40"/>
        <w:ind w:left="360"/>
      </w:pPr>
      <w:r>
        <w:rPr>
          <w:b w:val="false"/>
          <w:bCs w:val="false"/>
          <w:color w:val="000000"/>
        </w:rPr>
        <w:t xml:space="preserve">C. International law forbids independent investigations</w:t>
      </w:r>
    </w:p>
    <w:p>
      <w:pPr>
        <w:spacing w:after="40"/>
        <w:ind w:left="360"/>
      </w:pPr>
      <w:r>
        <w:rPr>
          <w:b w:val="false"/>
          <w:bCs w:val="false"/>
          <w:color w:val="000000"/>
        </w:rPr>
        <w:t xml:space="preserve">D. There's no reason to doubt it</w:t>
      </w:r>
    </w:p>
    <w:p>
      <w:pPr>
        <w:spacing w:after="110"/>
      </w:pPr>
      <w:r>
        <w:t xml:space="preserve"/>
      </w:r>
    </w:p>
    <w:p>
      <w:pPr>
        <w:spacing w:after="110"/>
      </w:pPr>
      <w:r>
        <w:rPr>
          <w:b/>
          <w:bCs/>
        </w:rPr>
        <w:t xml:space="preserve">3. The UK counterpart body that joined the sanctions action was the ______.</w:t>
      </w:r>
    </w:p>
    <w:p>
      <w:pPr>
        <w:pBdr>
          <w:bottom w:val="single" w:color="AAAAAA" w:sz="4"/>
        </w:pBdr>
        <w:spacing w:after="140"/>
      </w:pPr>
      <w:r>
        <w:t xml:space="preserve"> </w:t>
      </w:r>
    </w:p>
    <w:p>
      <w:pPr>
        <w:spacing w:after="110"/>
      </w:pPr>
      <w:r>
        <w:t xml:space="preserve"/>
      </w:r>
    </w:p>
    <w:p>
      <w:pPr>
        <w:spacing w:after="110"/>
      </w:pPr>
      <w:r>
        <w:rPr>
          <w:b/>
          <w:bCs/>
          <w:i/>
          <w:iCs/>
        </w:rPr>
        <w:t xml:space="preserve">Draft the attribution statement for what the multi-country coordination itself contributes to confidence — separate from any single piece of technical evidence.</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1"/>
        <w:spacing w:after="140" w:before="280"/>
      </w:pPr>
      <w:r>
        <w:t xml:space="preserve">Final calibrated statements</w:t>
      </w:r>
    </w:p>
    <w:p>
      <w:pPr>
        <w:spacing w:after="110"/>
      </w:pPr>
      <w:r>
        <w:t xml:space="preserve">Using the lecture's exact format (‘[Confidence] confidence that [claim] based on [basis], with documented gaps in [gap].’), write three final calibrated statements for this case, each at a different confidence level: one high, one moderate, one low. Do not reuse a single category's model answer verbatim — synthesize across categories.</w:t>
      </w:r>
    </w:p>
    <w:p>
      <w:pPr>
        <w:pStyle w:val="Heading3"/>
        <w:spacing w:after="80" w:before="160"/>
      </w:pPr>
      <w:r>
        <w:t xml:space="preserve">High confidence statement</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Moderate confidence statement</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3"/>
        <w:spacing w:after="80" w:before="160"/>
      </w:pPr>
      <w:r>
        <w:t xml:space="preserve">Low confidence statement</w:t>
      </w:r>
    </w:p>
    <w:p>
      <w:pPr>
        <w:pBdr>
          <w:bottom w:val="single" w:color="AAAAAA" w:sz="4"/>
        </w:pBdr>
        <w:spacing w:after="140"/>
      </w:pPr>
      <w:r>
        <w:t xml:space="preserve"> </w:t>
      </w:r>
    </w:p>
    <w:p>
      <w:pPr>
        <w:pBdr>
          <w:bottom w:val="single" w:color="AAAAAA" w:sz="4"/>
        </w:pBdr>
        <w:spacing w:after="140"/>
      </w:pPr>
      <w:r>
        <w:t xml:space="preserve"> </w:t>
      </w:r>
    </w:p>
    <w:p>
      <w:pPr>
        <w:pBdr>
          <w:bottom w:val="single" w:color="AAAAAA" w:sz="4"/>
        </w:pBdr>
        <w:spacing w:after="140"/>
      </w:pPr>
      <w:r>
        <w:t xml:space="preserve"> </w:t>
      </w:r>
    </w:p>
    <w:p>
      <w:pPr>
        <w:pStyle w:val="Heading2"/>
        <w:spacing w:after="110" w:before="220"/>
      </w:pPr>
      <w:r>
        <w:t xml:space="preserve">Squad synthesis</w:t>
      </w:r>
    </w:p>
    <w:p>
      <w:pPr>
        <w:pStyle w:val="ListParagraph"/>
        <w:numPr>
          <w:ilvl w:val="0"/>
          <w:numId w:val="1"/>
        </w:numPr>
        <w:spacing w:after="60"/>
      </w:pPr>
      <w:r>
        <w:t xml:space="preserve">Which category was your squad least confident writing, and why — is that a gap in the public record, or a gap in your squad's reasoning?</w:t>
      </w:r>
    </w:p>
    <w:p>
      <w:pPr>
        <w:pStyle w:val="ListParagraph"/>
        <w:numPr>
          <w:ilvl w:val="0"/>
          <w:numId w:val="1"/>
        </w:numPr>
        <w:spacing w:after="60"/>
      </w:pPr>
      <w:r>
        <w:t xml:space="preserve">Identify the one piece of information in this packet that is a public statement or announcement, not itself evidence. What's the difference, and why does it matter for how you'd use it in a briefing?</w:t>
      </w:r>
    </w:p>
    <w:p>
      <w:pPr>
        <w:pStyle w:val="ListParagraph"/>
        <w:numPr>
          <w:ilvl w:val="0"/>
          <w:numId w:val="1"/>
        </w:numPr>
        <w:spacing w:after="60"/>
      </w:pPr>
      <w:r>
        <w:t xml:space="preserve">If you were briefing an AUSA using only what's in this packet, what would you tell them still needs to happen before any of this could support a U.S. charge?</w:t>
      </w:r>
    </w:p>
    <w:p>
      <w:pPr>
        <w:pStyle w:val="Heading2"/>
        <w:spacing w:after="110" w:before="220"/>
      </w:pPr>
      <w:r>
        <w:t xml:space="preserve">Sources</w:t>
      </w:r>
    </w:p>
    <w:p>
      <w:pPr>
        <w:spacing w:after="110"/>
      </w:pPr>
      <w:r>
        <w:rPr>
          <w:i/>
          <w:iCs/>
          <w:sz w:val="18"/>
          <w:szCs w:val="18"/>
        </w:rPr>
        <w:t xml:space="preserve">U.S. Department of Justice press release (May 7, 2024); public reporting and direct quotations from Krebs on Security, CNBC, Courthouse News, TechTarget, Intel471, Cyberint, and Flashpoint. Every quotation above is under 20 words and drawn from these public sources. Where the public record does not disclose specific underlying investigative methods, that is noted as a gap — not filled in with invented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Squad Packet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2026-09-24T14:05:34.589Z</dcterms:created>
  <dcterms:modified xsi:type="dcterms:W3CDTF">2026-09-24T14:05:34.599Z</dcterms:modified>
</cp:coreProperties>
</file>

<file path=docProps/custom.xml><?xml version="1.0" encoding="utf-8"?>
<Properties xmlns="http://schemas.openxmlformats.org/officeDocument/2006/custom-properties" xmlns:vt="http://schemas.openxmlformats.org/officeDocument/2006/docPropsVTypes"/>
</file>