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B6178"/>
          <w:sz w:val="20"/>
          <w:szCs w:val="20"/>
        </w:rPr>
        <w:t xml:space="preserve">FBI CYBER INTRUSION INVESTIGATION COURSE — DAY 2, 1445 WORKSHOP</w:t>
      </w:r>
    </w:p>
    <w:p>
      <w:pPr>
        <w:spacing w:after="60"/>
        <w:jc w:val="center"/>
      </w:pPr>
      <w:r>
        <w:rPr>
          <w:b/>
          <w:bCs/>
          <w:sz w:val="32"/>
          <w:szCs w:val="32"/>
        </w:rPr>
        <w:t xml:space="preserve">International Evidence Workshop</w:t>
      </w:r>
    </w:p>
    <w:p>
      <w:pPr>
        <w:spacing w:after="220"/>
        <w:jc w:val="center"/>
      </w:pPr>
      <w:r>
        <w:rPr>
          <w:i/>
          <w:iCs/>
          <w:sz w:val="20"/>
          <w:szCs w:val="20"/>
        </w:rPr>
        <w:t xml:space="preserve">Facilitator Guide — Drafting an MLAT Request</w:t>
      </w:r>
    </w:p>
    <w:p>
      <w:pPr>
        <w:spacing w:after="200"/>
        <w:jc w:val="center"/>
      </w:pPr>
      <w:r>
        <w:rPr>
          <w:b/>
          <w:bCs/>
          <w:color w:val="B00000"/>
        </w:rPr>
        <w:t xml:space="preserve">UNCLASSIFIED — Instructor use only — do not distribute to students</w:t>
      </w:r>
    </w:p>
    <w:p>
      <w:pPr>
        <w:pStyle w:val="Heading2"/>
        <w:spacing w:after="110" w:before="220"/>
      </w:pPr>
      <w:r>
        <w:t xml:space="preserve">How this fits</w:t>
      </w:r>
    </w:p>
    <w:p>
      <w:pPr>
        <w:spacing w:after="110"/>
      </w:pPr>
      <w:r>
        <w:t xml:space="preserve">This is the 1445 workshop the lesson plan calls for: squads draft an MLAT request, then exchange drafts with another squad for peer review, ending with your observations on common drafting issues.</w:t>
      </w:r>
    </w:p>
    <w:p>
      <w:pPr>
        <w:pBdr>
          <w:top w:val="single" w:color="999999" w:sz="4"/>
          <w:bottom w:val="single" w:color="999999" w:sz="4"/>
          <w:left w:val="single" w:color="999999" w:sz="4"/>
          <w:right w:val="single" w:color="999999" w:sz="4"/>
        </w:pBdr>
        <w:shd w:fill="F2F2F2" w:val="clear"/>
        <w:spacing w:after="200" w:before="120"/>
      </w:pPr>
      <w:r>
        <w:rPr>
          <w:b/>
          <w:bCs/>
        </w:rPr>
        <w:t xml:space="preserve">INSTRUCTOR NOTE: </w:t>
      </w:r>
      <w:r>
        <w:t xml:space="preserve">The lesson plan says this workshop uses ‘the capstone case.’ This packet uses a fresh, standalone fact pattern instead — Northline Freight Logistics — built specifically for this drafting exercise. If you have the actual capstone case fact pattern and want students drafting against that instead, swap the fact pattern section in the student packet for the real one and re-map the model draft below accordingly; the seven-element structure and the failure-mode checks carry over unchanged either way.</w:t>
      </w:r>
    </w:p>
    <w:p>
      <w:pPr>
        <w:pStyle w:val="Heading2"/>
        <w:spacing w:after="110" w:before="220"/>
      </w:pPr>
      <w:r>
        <w:t xml:space="preserve">Timing (suggested ~75 minutes, matching the lesson plan's 45-minute draft + peer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9D9D9" w:val="clear"/>
            <w:tcMar>
              <w:top w:type="dxa" w:w="80"/>
              <w:left w:type="dxa" w:w="100"/>
              <w:bottom w:type="dxa" w:w="80"/>
              <w:right w:type="dxa" w:w="100"/>
            </w:tcMar>
          </w:tcPr>
          <w:p>
            <w:r>
              <w:rPr>
                <w:b/>
                <w:bCs/>
              </w:rPr>
              <w:t xml:space="preserve">Time</w:t>
            </w:r>
          </w:p>
        </w:tc>
        <w:tc>
          <w:tcPr>
            <w:tcW w:type="dxa" w:w="7560"/>
            <w:shd w:fill="D9D9D9" w:val="clear"/>
            <w:tcMar>
              <w:top w:type="dxa" w:w="80"/>
              <w:left w:type="dxa" w:w="100"/>
              <w:bottom w:type="dxa" w:w="80"/>
              <w:right w:type="dxa" w:w="100"/>
            </w:tcMar>
          </w:tcPr>
          <w:p>
            <w:r>
              <w:rPr>
                <w:b/>
                <w:bCs/>
              </w:rPr>
              <w:t xml:space="preserve">Block</w:t>
            </w:r>
          </w:p>
        </w:tc>
      </w:tr>
      <w:tr>
        <w:tc>
          <w:tcPr>
            <w:tcW w:type="dxa" w:w="1800"/>
            <w:tcMar>
              <w:top w:type="dxa" w:w="80"/>
              <w:left w:type="dxa" w:w="100"/>
              <w:bottom w:type="dxa" w:w="80"/>
              <w:right w:type="dxa" w:w="100"/>
            </w:tcMar>
          </w:tcPr>
          <w:p>
            <w:r>
              <w:rPr>
                <w:b w:val="false"/>
                <w:bCs w:val="false"/>
              </w:rPr>
              <w:t xml:space="preserve">0:00–0:05</w:t>
            </w:r>
          </w:p>
        </w:tc>
        <w:tc>
          <w:tcPr>
            <w:tcW w:type="dxa" w:w="7560"/>
            <w:tcMar>
              <w:top w:type="dxa" w:w="80"/>
              <w:left w:type="dxa" w:w="100"/>
              <w:bottom w:type="dxa" w:w="80"/>
              <w:right w:type="dxa" w:w="100"/>
            </w:tcMar>
          </w:tcPr>
          <w:p>
            <w:r>
              <w:rPr>
                <w:b w:val="false"/>
                <w:bCs w:val="false"/>
              </w:rPr>
              <w:t xml:space="preserve">Frame the task; confirm squads have the fact pattern and checklist</w:t>
            </w:r>
          </w:p>
        </w:tc>
      </w:tr>
      <w:tr>
        <w:tc>
          <w:tcPr>
            <w:tcW w:type="dxa" w:w="1800"/>
            <w:tcMar>
              <w:top w:type="dxa" w:w="80"/>
              <w:left w:type="dxa" w:w="100"/>
              <w:bottom w:type="dxa" w:w="80"/>
              <w:right w:type="dxa" w:w="100"/>
            </w:tcMar>
          </w:tcPr>
          <w:p>
            <w:r>
              <w:rPr>
                <w:b w:val="false"/>
                <w:bCs w:val="false"/>
              </w:rPr>
              <w:t xml:space="preserve">0:05–0:50</w:t>
            </w:r>
          </w:p>
        </w:tc>
        <w:tc>
          <w:tcPr>
            <w:tcW w:type="dxa" w:w="7560"/>
            <w:tcMar>
              <w:top w:type="dxa" w:w="80"/>
              <w:left w:type="dxa" w:w="100"/>
              <w:bottom w:type="dxa" w:w="80"/>
              <w:right w:type="dxa" w:w="100"/>
            </w:tcMar>
          </w:tcPr>
          <w:p>
            <w:r>
              <w:rPr>
                <w:b w:val="false"/>
                <w:bCs w:val="false"/>
              </w:rPr>
              <w:t xml:space="preserve">Squads draft (45 minutes, per the lesson plan)</w:t>
            </w:r>
          </w:p>
        </w:tc>
      </w:tr>
      <w:tr>
        <w:tc>
          <w:tcPr>
            <w:tcW w:type="dxa" w:w="1800"/>
            <w:tcMar>
              <w:top w:type="dxa" w:w="80"/>
              <w:left w:type="dxa" w:w="100"/>
              <w:bottom w:type="dxa" w:w="80"/>
              <w:right w:type="dxa" w:w="100"/>
            </w:tcMar>
          </w:tcPr>
          <w:p>
            <w:r>
              <w:rPr>
                <w:b w:val="false"/>
                <w:bCs w:val="false"/>
              </w:rPr>
              <w:t xml:space="preserve">0:50–1:05</w:t>
            </w:r>
          </w:p>
        </w:tc>
        <w:tc>
          <w:tcPr>
            <w:tcW w:type="dxa" w:w="7560"/>
            <w:tcMar>
              <w:top w:type="dxa" w:w="80"/>
              <w:left w:type="dxa" w:w="100"/>
              <w:bottom w:type="dxa" w:w="80"/>
              <w:right w:type="dxa" w:w="100"/>
            </w:tcMar>
          </w:tcPr>
          <w:p>
            <w:r>
              <w:rPr>
                <w:b w:val="false"/>
                <w:bCs w:val="false"/>
              </w:rPr>
              <w:t xml:space="preserve">Exchange drafts; peer review using the worksheet</w:t>
            </w:r>
          </w:p>
        </w:tc>
      </w:tr>
      <w:tr>
        <w:tc>
          <w:tcPr>
            <w:tcW w:type="dxa" w:w="1800"/>
            <w:tcMar>
              <w:top w:type="dxa" w:w="80"/>
              <w:left w:type="dxa" w:w="100"/>
              <w:bottom w:type="dxa" w:w="80"/>
              <w:right w:type="dxa" w:w="100"/>
            </w:tcMar>
          </w:tcPr>
          <w:p>
            <w:r>
              <w:rPr>
                <w:b w:val="false"/>
                <w:bCs w:val="false"/>
              </w:rPr>
              <w:t xml:space="preserve">1:05–1:15</w:t>
            </w:r>
          </w:p>
        </w:tc>
        <w:tc>
          <w:tcPr>
            <w:tcW w:type="dxa" w:w="7560"/>
            <w:tcMar>
              <w:top w:type="dxa" w:w="80"/>
              <w:left w:type="dxa" w:w="100"/>
              <w:bottom w:type="dxa" w:w="80"/>
              <w:right w:type="dxa" w:w="100"/>
            </w:tcMar>
          </w:tcPr>
          <w:p>
            <w:r>
              <w:rPr>
                <w:b w:val="false"/>
                <w:bCs w:val="false"/>
              </w:rPr>
              <w:t xml:space="preserve">Your observations on common drafting issues (see below), plus each squad's one-change / one-catch report</w:t>
            </w:r>
          </w:p>
        </w:tc>
      </w:tr>
    </w:tbl>
    <w:p>
      <w:pPr>
        <w:spacing w:after="110"/>
      </w:pPr>
      <w:r>
        <w:t xml:space="preserve"/>
      </w:r>
    </w:p>
    <w:p>
      <w:pPr>
        <w:pStyle w:val="Heading1"/>
        <w:spacing w:after="140" w:before="280"/>
      </w:pPr>
      <w:r>
        <w:t xml:space="preserve">The fact pattern (same as student packet)</w:t>
      </w:r>
    </w:p>
    <w:p>
      <w:pPr>
        <w:pStyle w:val="ListParagraph"/>
        <w:numPr>
          <w:ilvl w:val="0"/>
          <w:numId w:val="1"/>
        </w:numPr>
        <w:spacing w:after="60"/>
      </w:pPr>
      <w:r>
        <w:t xml:space="preserve">Northline Freight Logistics, a mid-size trucking and freight-forwarding company headquartered in Ohio, reported a business email compromise resulting in two fraudulent wire transfers totaling $310,000.</w:t>
      </w:r>
    </w:p>
    <w:p>
      <w:pPr>
        <w:pStyle w:val="ListParagraph"/>
        <w:numPr>
          <w:ilvl w:val="0"/>
          <w:numId w:val="1"/>
        </w:numPr>
        <w:spacing w:after="60"/>
      </w:pPr>
      <w:r>
        <w:t xml:space="preserve">The CFO's email account was compromised via a phishing link. Vendor-payment instructions were subsequently altered in email threads with two regular vendors, redirecting the combined $310,000 to new account numbers.</w:t>
      </w:r>
    </w:p>
    <w:p>
      <w:pPr>
        <w:pStyle w:val="ListParagraph"/>
        <w:numPr>
          <w:ilvl w:val="0"/>
          <w:numId w:val="1"/>
        </w:numPr>
        <w:spacing w:after="60"/>
      </w:pPr>
      <w:r>
        <w:t xml:space="preserve">Header data recovered from Northline's own email system shows the forwarding-rule change on the CFO's mailbox was made from an external webmail account: cfo.updates@postbox-ro.example, hosted by PostBox RO, a webmail provider headquartered in Bucharest, Romania, with no U.S. presence.</w:t>
      </w:r>
    </w:p>
    <w:p>
      <w:pPr>
        <w:pStyle w:val="ListParagraph"/>
        <w:numPr>
          <w:ilvl w:val="0"/>
          <w:numId w:val="1"/>
        </w:numPr>
        <w:spacing w:after="60"/>
      </w:pPr>
      <w:r>
        <w:t xml:space="preserve">Login records already obtained from Northline's own U.S.-based email provider (which cooperated with a federal grand jury subpoena) show the attacker accessed the compromised mailbox from IP address 82.77.14.203 on multiple dates.</w:t>
      </w:r>
    </w:p>
    <w:p>
      <w:pPr>
        <w:pStyle w:val="ListParagraph"/>
        <w:numPr>
          <w:ilvl w:val="0"/>
          <w:numId w:val="1"/>
        </w:numPr>
        <w:spacing w:after="60"/>
      </w:pPr>
      <w:r>
        <w:t xml:space="preserve">Open-source WHOIS research shows 82.77.14.203 is allocated to Carpathia Cloud SRL, a hosting company in Cluj-Napoca, Romania, also with no U.S. presence.</w:t>
      </w:r>
    </w:p>
    <w:p>
      <w:pPr>
        <w:pStyle w:val="ListParagraph"/>
        <w:numPr>
          <w:ilvl w:val="0"/>
          <w:numId w:val="1"/>
        </w:numPr>
        <w:spacing w:after="60"/>
      </w:pPr>
      <w:r>
        <w:t xml:space="preserve">An Article 29 preservation request was sent to Romania's central authority three days after the foreign nexus was identified, covering the PostBox RO account and any Carpathia Cloud hosting logs tied to that IP address for the relevant date range. Confirmation of preservation was received five days later.</w:t>
      </w:r>
    </w:p>
    <w:p>
      <w:pPr>
        <w:pStyle w:val="ListParagraph"/>
        <w:numPr>
          <w:ilvl w:val="0"/>
          <w:numId w:val="1"/>
        </w:numPr>
        <w:spacing w:after="60"/>
      </w:pPr>
      <w:r>
        <w:t xml:space="preserve">A parallel U.S. subpoena to Meridian Pay Solutions (the U.S.-based payment processor used for one of the two fraudulent transfers) has already returned the destination account's opening documentation, which lists a name investigators believe is fictitious. That thread is a separate, already-progressing part of the case.</w:t>
      </w:r>
    </w:p>
    <w:p>
      <w:pPr>
        <w:pStyle w:val="ListParagraph"/>
        <w:numPr>
          <w:ilvl w:val="0"/>
          <w:numId w:val="1"/>
        </w:numPr>
        <w:spacing w:after="60"/>
      </w:pPr>
      <w:r>
        <w:t xml:space="preserve">Investigators now need, from Romania: (1) subscriber and account-opening information for cfo.updates@postbox-ro.example; (2) the content of that account's stored emails and its login/IP history for the relevant date range; (3) any hosting or subscriber records Carpathia Cloud SRL holds tied to IP address 82.77.14.203 for the same period.</w:t>
      </w:r>
    </w:p>
    <w:p>
      <w:pPr>
        <w:pStyle w:val="ListParagraph"/>
        <w:numPr>
          <w:ilvl w:val="0"/>
          <w:numId w:val="1"/>
        </w:numPr>
        <w:spacing w:after="60"/>
      </w:pPr>
      <w:r>
        <w:t xml:space="preserve">None of this is reachable through U.S. process — PostBox RO and Carpathia Cloud SRL both have no U.S. presence. Preservation is already secured and the U.S.-reachable parallel-cooperation avenue (Meridian Pay) is already in progress on its own track. What remains is the formal MLAT request to Romania for the PostBox RO and Carpathia Cloud evidence — the exercise below.</w:t>
      </w:r>
    </w:p>
    <w:p>
      <w:pPr>
        <w:pStyle w:val="Heading1"/>
        <w:spacing w:after="140" w:before="280"/>
      </w:pPr>
      <w:r>
        <w:t xml:space="preserve">Model draft</w:t>
      </w:r>
    </w:p>
    <w:p>
      <w:pPr>
        <w:spacing w:after="110"/>
      </w:pPr>
      <w:r>
        <w:t xml:space="preserve">This is what a complete, well-drafted request looks like for this fact pattern. Use it as your comparison point during peer review circulation — not as the only acceptable phrasing.</w:t>
      </w:r>
    </w:p>
    <w:p>
      <w:pPr>
        <w:pStyle w:val="Heading3"/>
        <w:spacing w:after="80" w:before="160"/>
      </w:pPr>
      <w:r>
        <w:t xml:space="preserve">Element 1 — Requesting authority and case agent</w:t>
      </w:r>
    </w:p>
    <w:p>
      <w:pPr>
        <w:spacing w:after="110"/>
      </w:pPr>
      <w:r>
        <w:rPr>
          <w:i/>
          <w:iCs/>
          <w:color w:val="1E7A34"/>
        </w:rPr>
        <w:t xml:space="preserve">Requesting Authority: Federal Bureau of Investigation, [Field Office] Cyber Squad. Case Agent: SA [Name], [phone/email]. Assigned AUSA: [Name], U.S. Attorney's Office, [District]. Case number: [XX-XXXXXX].</w:t>
      </w:r>
    </w:p>
    <w:p>
      <w:pPr>
        <w:spacing w:after="110"/>
      </w:pPr>
      <w:r>
        <w:rPr>
          <w:b/>
          <w:bCs/>
        </w:rPr>
        <w:t xml:space="preserve">Common issue to watch for:</w:t>
      </w:r>
    </w:p>
    <w:p>
      <w:pPr>
        <w:spacing w:after="110"/>
      </w:pPr>
      <w:r>
        <w:t xml:space="preserve">Squads sometimes skip inventing a case number or AUSA name entirely and just write 'the FBI.' Push them to fill in specifics — this element exists so the receiving authority knows exactly who to contact with questions, and a vague answer here previews vagueness elsewhere.</w:t>
      </w:r>
    </w:p>
    <w:p>
      <w:pPr>
        <w:pStyle w:val="Heading3"/>
        <w:spacing w:after="80" w:before="160"/>
      </w:pPr>
      <w:r>
        <w:t xml:space="preserve">Element 2 — Statement of facts</w:t>
      </w:r>
    </w:p>
    <w:p>
      <w:pPr>
        <w:spacing w:after="110"/>
      </w:pPr>
      <w:r>
        <w:rPr>
          <w:i/>
          <w:iCs/>
          <w:color w:val="1E7A34"/>
        </w:rPr>
        <w:t xml:space="preserve">In [month/year], Northline Freight Logistics, a freight-forwarding company in Ohio, discovered that two wire payments totaling $310,000 intended for regular vendors had instead been sent to accounts the company did not recognize. Investigation determined that an employee's email account had been accessed without authorization after clicking a fraudulent link, and that the intruder used that access to alter the banking instructions in ongoing email exchanges with two of the company's vendors, causing the company's bank to send the payments to accounts controlled by the intruder rather than the vendors. Records obtained from the company's U.S. email provider show that the account settings enabling this scheme were changed from an external email account hosted by PostBox RO of Bucharest, and that the same intruder accessed the compromised account from an internet address allocated to Carpathia Cloud SRL of Cluj-Napoca on multiple occasions during the relevant period.</w:t>
      </w:r>
    </w:p>
    <w:p>
      <w:pPr>
        <w:spacing w:after="110"/>
      </w:pPr>
      <w:r>
        <w:rPr>
          <w:b/>
          <w:bCs/>
        </w:rPr>
        <w:t xml:space="preserve">Common issue to watch for:</w:t>
      </w:r>
    </w:p>
    <w:p>
      <w:pPr>
        <w:spacing w:after="110"/>
      </w:pPr>
      <w:r>
        <w:t xml:space="preserve">The most common failure in the whole exercise, matching Slide 9 exactly: squads write legal-analytic language ('the elements of wire fraud under 18 U.S.C. §1343 are satisfied because...') instead of narrative facts. Apply the cold-read test directly: read their Element 2 aloud and ask whether a non-lawyer, non-American reader would follow it.</w:t>
      </w:r>
    </w:p>
    <w:p>
      <w:pPr>
        <w:pStyle w:val="Heading3"/>
        <w:spacing w:after="80" w:before="160"/>
      </w:pPr>
      <w:r>
        <w:t xml:space="preserve">Element 3 — Specific data identification</w:t>
      </w:r>
    </w:p>
    <w:p>
      <w:pPr>
        <w:spacing w:after="110"/>
      </w:pPr>
      <w:r>
        <w:rPr>
          <w:i/>
          <w:iCs/>
          <w:color w:val="1E7A34"/>
        </w:rPr>
        <w:t xml:space="preserve">(a) From PostBox RO: subscriber and account-opening information, and the stored content and login/IP history, for account cfo.updates@postbox-ro.example, for the period [start date] through [end date]. (b) From Carpathia Cloud SRL: subscriber or customer records associated with IP address 82.77.14.203 for the same period, including any records showing which customer account controlled that address. These are two separate providers holding two separate categories of records — the request should not blend them into one undifferentiated ask.</w:t>
      </w:r>
    </w:p>
    <w:p>
      <w:pPr>
        <w:spacing w:after="110"/>
      </w:pPr>
      <w:r>
        <w:rPr>
          <w:b/>
          <w:bCs/>
        </w:rPr>
        <w:t xml:space="preserve">Common issue to watch for:</w:t>
      </w:r>
    </w:p>
    <w:p>
      <w:pPr>
        <w:spacing w:after="110"/>
      </w:pPr>
      <w:r>
        <w:t xml:space="preserve">Watch for squads blending PostBox RO and Carpathia Cloud into one undifferentiated request ('records related to the account and the IP address'). This is Failure Mode 2 (vague data identification) in miniature — push squads to separate what each of the two providers is being asked for.</w:t>
      </w:r>
    </w:p>
    <w:p>
      <w:pPr>
        <w:pStyle w:val="Heading3"/>
        <w:spacing w:after="80" w:before="160"/>
      </w:pPr>
      <w:r>
        <w:t xml:space="preserve">Element 4 — Legal basis under U.S. law</w:t>
      </w:r>
    </w:p>
    <w:p>
      <w:pPr>
        <w:spacing w:after="110"/>
      </w:pPr>
      <w:r>
        <w:rPr>
          <w:i/>
          <w:iCs/>
          <w:color w:val="1E7A34"/>
        </w:rPr>
        <w:t xml:space="preserve">The conduct described constitutes wire fraud in violation of 18 U.S.C. § 1343 (use of interstate wire communications to execute a scheme to defraud) and unauthorized access to a protected computer in violation of 18 U.S.C. § 1030(a)(2) and (a)(4).</w:t>
      </w:r>
    </w:p>
    <w:p>
      <w:pPr>
        <w:spacing w:after="110"/>
      </w:pPr>
      <w:r>
        <w:rPr>
          <w:b/>
          <w:bCs/>
        </w:rPr>
        <w:t xml:space="preserve">Common issue to watch for:</w:t>
      </w:r>
    </w:p>
    <w:p>
      <w:pPr>
        <w:spacing w:after="110"/>
      </w:pPr>
      <w:r>
        <w:t xml:space="preserve">Usually fine — squads tend to over-rely on wire fraud alone and forget the CFAA unauthorized-access angle. Both apply here; note it if a squad only cites one.</w:t>
      </w:r>
    </w:p>
    <w:p>
      <w:pPr>
        <w:pStyle w:val="Heading3"/>
        <w:spacing w:after="80" w:before="160"/>
      </w:pPr>
      <w:r>
        <w:t xml:space="preserve">Element 5 — Connection to the investigation</w:t>
      </w:r>
    </w:p>
    <w:p>
      <w:pPr>
        <w:spacing w:after="110"/>
      </w:pPr>
      <w:r>
        <w:rPr>
          <w:i/>
          <w:iCs/>
          <w:color w:val="1E7A34"/>
        </w:rPr>
        <w:t xml:space="preserve">The PostBox RO account is the specific instrument the intruder used to alter the victim's email settings and redirect the fraudulent payments; its subscriber information and content are expected to identify the intruder or additional accounts and infrastructure used in the scheme. The Carpathia Cloud records are expected to identify the subscriber who controlled the IP address used to access the compromised account, which is a direct investigative lead toward the intruder's identity.</w:t>
      </w:r>
    </w:p>
    <w:p>
      <w:pPr>
        <w:spacing w:after="110"/>
      </w:pPr>
      <w:r>
        <w:rPr>
          <w:b/>
          <w:bCs/>
        </w:rPr>
        <w:t xml:space="preserve">Common issue to watch for:</w:t>
      </w:r>
    </w:p>
    <w:p>
      <w:pPr>
        <w:spacing w:after="110"/>
      </w:pPr>
      <w:r>
        <w:t xml:space="preserve">Squads often restate Element 3 (what's being requested) instead of explaining why it matters. Push for the actual investigative logic: what would this evidence let the case team do next?</w:t>
      </w:r>
    </w:p>
    <w:p>
      <w:pPr>
        <w:pStyle w:val="Heading3"/>
        <w:spacing w:after="80" w:before="160"/>
      </w:pPr>
      <w:r>
        <w:t xml:space="preserve">Element 6 — Confidentiality requirements</w:t>
      </w:r>
    </w:p>
    <w:p>
      <w:pPr>
        <w:spacing w:after="110"/>
      </w:pPr>
      <w:r>
        <w:rPr>
          <w:i/>
          <w:iCs/>
          <w:color w:val="1E7A34"/>
        </w:rPr>
        <w:t xml:space="preserve">The United States requests that the existence and content of this request not be disclosed to the account holder or any third party, and that any disclosure to the subject of the investigation be deferred pending further coordination with the requesting authority. We ask Romania's central authority to advise, at the time of response, what confidentiality its domestic law permits it to honor, including whether and when any defendant-notification obligation would be triggered.</w:t>
      </w:r>
    </w:p>
    <w:p>
      <w:pPr>
        <w:spacing w:after="110"/>
      </w:pPr>
      <w:r>
        <w:rPr>
          <w:b/>
          <w:bCs/>
        </w:rPr>
        <w:t xml:space="preserve">Common issue to watch for:</w:t>
      </w:r>
    </w:p>
    <w:p>
      <w:pPr>
        <w:spacing w:after="110"/>
      </w:pPr>
      <w:r>
        <w:t xml:space="preserve">Squads frequently skip this element entirely or write one vague sentence. This is Failure Mode 4 (confidentiality mismatch) territory — the model draft's second sentence, asking Romania what their law permits, is the piece squads most often omit.</w:t>
      </w:r>
    </w:p>
    <w:p>
      <w:pPr>
        <w:pStyle w:val="Heading3"/>
        <w:spacing w:after="80" w:before="160"/>
      </w:pPr>
      <w:r>
        <w:t xml:space="preserve">Element 7 — Form-of-evidence requirements</w:t>
      </w:r>
    </w:p>
    <w:p>
      <w:pPr>
        <w:spacing w:after="110"/>
      </w:pPr>
      <w:r>
        <w:rPr>
          <w:i/>
          <w:iCs/>
          <w:color w:val="1E7A34"/>
        </w:rPr>
        <w:t xml:space="preserve">For any records intended for use at trial in the United States, the United States requests certification or attestation by the responding provider or Romanian authority that the records are true and accurate copies of business records maintained in the ordinary course, together with hash values for any digital files produced, to support authentication under the Federal Rules of Evidence.</w:t>
      </w:r>
    </w:p>
    <w:p>
      <w:pPr>
        <w:spacing w:after="110"/>
      </w:pPr>
      <w:r>
        <w:rPr>
          <w:b/>
          <w:bCs/>
        </w:rPr>
        <w:t xml:space="preserve">Common issue to watch for:</w:t>
      </w:r>
    </w:p>
    <w:p>
      <w:pPr>
        <w:spacing w:after="110"/>
      </w:pPr>
      <w:r>
        <w:t xml:space="preserve">Often the thinnest section. If a squad doesn't mention attestation or hashes at all, that's Failure Mode 6 (incompatible evidentiary requirements) — flag it directly using the lecture's own example: investigatively useful but inadmissible records.</w:t>
      </w:r>
    </w:p>
    <w:p>
      <w:pPr>
        <w:pStyle w:val="Heading1"/>
        <w:spacing w:after="140" w:before="280"/>
      </w:pPr>
      <w:r>
        <w:t xml:space="preserve">Failure-mode cross-check</w:t>
      </w:r>
    </w:p>
    <w:p>
      <w:pPr>
        <w:spacing w:after="110"/>
      </w:pPr>
      <w:r>
        <w:t xml:space="preserve">As you circulate during drafting and peer review, these are the specific tells for each failure mode in this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D9D9" w:val="clear"/>
            <w:tcMar>
              <w:top w:type="dxa" w:w="80"/>
              <w:left w:type="dxa" w:w="100"/>
              <w:bottom w:type="dxa" w:w="80"/>
              <w:right w:type="dxa" w:w="100"/>
            </w:tcMar>
          </w:tcPr>
          <w:p>
            <w:r>
              <w:rPr>
                <w:b/>
                <w:bCs/>
              </w:rPr>
              <w:t xml:space="preserve">Failure mode</w:t>
            </w:r>
          </w:p>
        </w:tc>
        <w:tc>
          <w:tcPr>
            <w:tcW w:type="dxa" w:w="6960"/>
            <w:shd w:fill="D9D9D9" w:val="clear"/>
            <w:tcMar>
              <w:top w:type="dxa" w:w="80"/>
              <w:left w:type="dxa" w:w="100"/>
              <w:bottom w:type="dxa" w:w="80"/>
              <w:right w:type="dxa" w:w="100"/>
            </w:tcMar>
          </w:tcPr>
          <w:p>
            <w:r>
              <w:rPr>
                <w:b/>
                <w:bCs/>
              </w:rPr>
              <w:t xml:space="preserve">What it looks like in this exercise</w:t>
            </w:r>
          </w:p>
        </w:tc>
      </w:tr>
      <w:tr>
        <w:tc>
          <w:tcPr>
            <w:tcW w:type="dxa" w:w="2400"/>
            <w:tcMar>
              <w:top w:type="dxa" w:w="80"/>
              <w:left w:type="dxa" w:w="100"/>
              <w:bottom w:type="dxa" w:w="80"/>
              <w:right w:type="dxa" w:w="100"/>
            </w:tcMar>
          </w:tcPr>
          <w:p>
            <w:r>
              <w:rPr>
                <w:b w:val="false"/>
                <w:bCs w:val="false"/>
              </w:rPr>
              <w:t xml:space="preserve">Preservation never sent</w:t>
            </w:r>
          </w:p>
        </w:tc>
        <w:tc>
          <w:tcPr>
            <w:tcW w:type="dxa" w:w="6960"/>
            <w:tcMar>
              <w:top w:type="dxa" w:w="80"/>
              <w:left w:type="dxa" w:w="100"/>
              <w:bottom w:type="dxa" w:w="80"/>
              <w:right w:type="dxa" w:w="100"/>
            </w:tcMar>
          </w:tcPr>
          <w:p>
            <w:r>
              <w:rPr>
                <w:b w:val="false"/>
                <w:bCs w:val="false"/>
              </w:rPr>
              <w:t xml:space="preserve">Not directly testable here — preservation is given as already sent in the fact pattern. If a squad's draft implies preservation still needs to happen, that's a reading-comprehension issue worth a quick correction, not a drafting failure.</w:t>
            </w:r>
          </w:p>
        </w:tc>
      </w:tr>
      <w:tr>
        <w:tc>
          <w:tcPr>
            <w:tcW w:type="dxa" w:w="2400"/>
            <w:tcMar>
              <w:top w:type="dxa" w:w="80"/>
              <w:left w:type="dxa" w:w="100"/>
              <w:bottom w:type="dxa" w:w="80"/>
              <w:right w:type="dxa" w:w="100"/>
            </w:tcMar>
          </w:tcPr>
          <w:p>
            <w:r>
              <w:rPr>
                <w:b w:val="false"/>
                <w:bCs w:val="false"/>
              </w:rPr>
              <w:t xml:space="preserve">Vague data identification</w:t>
            </w:r>
          </w:p>
        </w:tc>
        <w:tc>
          <w:tcPr>
            <w:tcW w:type="dxa" w:w="6960"/>
            <w:tcMar>
              <w:top w:type="dxa" w:w="80"/>
              <w:left w:type="dxa" w:w="100"/>
              <w:bottom w:type="dxa" w:w="80"/>
              <w:right w:type="dxa" w:w="100"/>
            </w:tcMar>
          </w:tcPr>
          <w:p>
            <w:r>
              <w:rPr>
                <w:b w:val="false"/>
                <w:bCs w:val="false"/>
              </w:rPr>
              <w:t xml:space="preserve">Element 3 blends PostBox RO and Carpathia Cloud into one ask, or omits the date range.</w:t>
            </w:r>
          </w:p>
        </w:tc>
      </w:tr>
      <w:tr>
        <w:tc>
          <w:tcPr>
            <w:tcW w:type="dxa" w:w="2400"/>
            <w:tcMar>
              <w:top w:type="dxa" w:w="80"/>
              <w:left w:type="dxa" w:w="100"/>
              <w:bottom w:type="dxa" w:w="80"/>
              <w:right w:type="dxa" w:w="100"/>
            </w:tcMar>
          </w:tcPr>
          <w:p>
            <w:r>
              <w:rPr>
                <w:b w:val="false"/>
                <w:bCs w:val="false"/>
              </w:rPr>
              <w:t xml:space="preserve">Insufficient facts under foreign law</w:t>
            </w:r>
          </w:p>
        </w:tc>
        <w:tc>
          <w:tcPr>
            <w:tcW w:type="dxa" w:w="6960"/>
            <w:tcMar>
              <w:top w:type="dxa" w:w="80"/>
              <w:left w:type="dxa" w:w="100"/>
              <w:bottom w:type="dxa" w:w="80"/>
              <w:right w:type="dxa" w:w="100"/>
            </w:tcMar>
          </w:tcPr>
          <w:p>
            <w:r>
              <w:rPr>
                <w:b w:val="false"/>
                <w:bCs w:val="false"/>
              </w:rPr>
              <w:t xml:space="preserve">Element 2 reads like a U.S. affidavit rather than a story a foreign officer could follow cold.</w:t>
            </w:r>
          </w:p>
        </w:tc>
      </w:tr>
      <w:tr>
        <w:tc>
          <w:tcPr>
            <w:tcW w:type="dxa" w:w="2400"/>
            <w:tcMar>
              <w:top w:type="dxa" w:w="80"/>
              <w:left w:type="dxa" w:w="100"/>
              <w:bottom w:type="dxa" w:w="80"/>
              <w:right w:type="dxa" w:w="100"/>
            </w:tcMar>
          </w:tcPr>
          <w:p>
            <w:r>
              <w:rPr>
                <w:b w:val="false"/>
                <w:bCs w:val="false"/>
              </w:rPr>
              <w:t xml:space="preserve">Confidentiality mismatch</w:t>
            </w:r>
          </w:p>
        </w:tc>
        <w:tc>
          <w:tcPr>
            <w:tcW w:type="dxa" w:w="6960"/>
            <w:tcMar>
              <w:top w:type="dxa" w:w="80"/>
              <w:left w:type="dxa" w:w="100"/>
              <w:bottom w:type="dxa" w:w="80"/>
              <w:right w:type="dxa" w:w="100"/>
            </w:tcMar>
          </w:tcPr>
          <w:p>
            <w:r>
              <w:rPr>
                <w:b w:val="false"/>
                <w:bCs w:val="false"/>
              </w:rPr>
              <w:t xml:space="preserve">Element 6 is missing, or doesn't ask Romania what their law permits — it just states U.S. requirements one-directionally.</w:t>
            </w:r>
          </w:p>
        </w:tc>
      </w:tr>
      <w:tr>
        <w:tc>
          <w:tcPr>
            <w:tcW w:type="dxa" w:w="2400"/>
            <w:tcMar>
              <w:top w:type="dxa" w:w="80"/>
              <w:left w:type="dxa" w:w="100"/>
              <w:bottom w:type="dxa" w:w="80"/>
              <w:right w:type="dxa" w:w="100"/>
            </w:tcMar>
          </w:tcPr>
          <w:p>
            <w:r>
              <w:rPr>
                <w:b w:val="false"/>
                <w:bCs w:val="false"/>
              </w:rPr>
              <w:t xml:space="preserve">Foreign partner brought in late</w:t>
            </w:r>
          </w:p>
        </w:tc>
        <w:tc>
          <w:tcPr>
            <w:tcW w:type="dxa" w:w="6960"/>
            <w:tcMar>
              <w:top w:type="dxa" w:w="80"/>
              <w:left w:type="dxa" w:w="100"/>
              <w:bottom w:type="dxa" w:w="80"/>
              <w:right w:type="dxa" w:w="100"/>
            </w:tcMar>
          </w:tcPr>
          <w:p>
            <w:r>
              <w:rPr>
                <w:b w:val="false"/>
                <w:bCs w:val="false"/>
              </w:rPr>
              <w:t xml:space="preserve">Not directly testable here — the fact pattern has the foreign nexus already identified and preservation already in motion. Worth mentioning in synthesis as a reminder that this drafting exercise starts after that step, not instead of it.</w:t>
            </w:r>
          </w:p>
        </w:tc>
      </w:tr>
      <w:tr>
        <w:tc>
          <w:tcPr>
            <w:tcW w:type="dxa" w:w="2400"/>
            <w:tcMar>
              <w:top w:type="dxa" w:w="80"/>
              <w:left w:type="dxa" w:w="100"/>
              <w:bottom w:type="dxa" w:w="80"/>
              <w:right w:type="dxa" w:w="100"/>
            </w:tcMar>
          </w:tcPr>
          <w:p>
            <w:r>
              <w:rPr>
                <w:b w:val="false"/>
                <w:bCs w:val="false"/>
              </w:rPr>
              <w:t xml:space="preserve">Incompatible evidentiary requirements</w:t>
            </w:r>
          </w:p>
        </w:tc>
        <w:tc>
          <w:tcPr>
            <w:tcW w:type="dxa" w:w="6960"/>
            <w:tcMar>
              <w:top w:type="dxa" w:w="80"/>
              <w:left w:type="dxa" w:w="100"/>
              <w:bottom w:type="dxa" w:w="80"/>
              <w:right w:type="dxa" w:w="100"/>
            </w:tcMar>
          </w:tcPr>
          <w:p>
            <w:r>
              <w:rPr>
                <w:b w:val="false"/>
                <w:bCs w:val="false"/>
              </w:rPr>
              <w:t xml:space="preserve">Element 7 is thin or missing — no mention of attestation, certification, or hashes for eventual trial use.</w:t>
            </w:r>
          </w:p>
        </w:tc>
      </w:tr>
    </w:tbl>
    <w:p>
      <w:pPr>
        <w:spacing w:after="110"/>
      </w:pPr>
      <w:r>
        <w:t xml:space="preserve"/>
      </w:r>
    </w:p>
    <w:p>
      <w:pPr>
        <w:pStyle w:val="Heading2"/>
        <w:spacing w:after="110" w:before="220"/>
      </w:pPr>
      <w:r>
        <w:t xml:space="preserve">Synthesis discussion (last 10 minutes)</w:t>
      </w:r>
    </w:p>
    <w:p>
      <w:pPr>
        <w:pStyle w:val="ListParagraph"/>
        <w:numPr>
          <w:ilvl w:val="0"/>
          <w:numId w:val="1"/>
        </w:numPr>
        <w:spacing w:after="60"/>
      </w:pPr>
      <w:r>
        <w:t xml:space="preserve">Ask one or two squads to read their Element 2 aloud. Ask the room: would a Romanian officer with no U.S. legal background follow this?</w:t>
      </w:r>
    </w:p>
    <w:p>
      <w:pPr>
        <w:pStyle w:val="ListParagraph"/>
        <w:numPr>
          <w:ilvl w:val="0"/>
          <w:numId w:val="1"/>
        </w:numPr>
        <w:spacing w:after="60"/>
      </w:pPr>
      <w:r>
        <w:t xml:space="preserve">Ask what each squad's peer reviewer caught that they'd missed themselves — this is often more instructive than your own observations, since it's coming from a squad that just did the same drafting task.</w:t>
      </w:r>
    </w:p>
    <w:p>
      <w:pPr>
        <w:pStyle w:val="ListParagraph"/>
        <w:numPr>
          <w:ilvl w:val="0"/>
          <w:numId w:val="1"/>
        </w:numPr>
        <w:spacing w:after="60"/>
      </w:pPr>
      <w:r>
        <w:t xml:space="preserve">Close by connecting forward: this is the exact skill Wednesday's foreign-nexus inject and Friday's capstone panel will test under time pressure. Today they had 45 minutes and a clean fact pattern; those won't be as generous.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Facilitator Guide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444444"/>
        <w:sz w:val="16"/>
        <w:szCs w:val="16"/>
      </w:rPr>
      <w:t xml:space="preserve">UNCLASSIFIED  ·  FBI Cyber Intrusion Investigation Course  ·  Day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2026-09-22T18:02:48.992Z</dcterms:created>
  <dcterms:modified xsi:type="dcterms:W3CDTF">2026-09-22T18:02:48.992Z</dcterms:modified>
</cp:coreProperties>
</file>

<file path=docProps/custom.xml><?xml version="1.0" encoding="utf-8"?>
<Properties xmlns="http://schemas.openxmlformats.org/officeDocument/2006/custom-properties" xmlns:vt="http://schemas.openxmlformats.org/officeDocument/2006/docPropsVTypes"/>
</file>