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6178"/>
          <w:sz w:val="20"/>
          <w:szCs w:val="20"/>
        </w:rPr>
        <w:t xml:space="preserve">FBI CYBER INTRUSION INVESTIGATION COURSE — DAY 2, 1445 WORKSHOP</w:t>
      </w:r>
    </w:p>
    <w:p>
      <w:pPr>
        <w:spacing w:after="60"/>
        <w:jc w:val="center"/>
      </w:pPr>
      <w:r>
        <w:rPr>
          <w:b/>
          <w:bCs/>
          <w:sz w:val="32"/>
          <w:szCs w:val="32"/>
        </w:rPr>
        <w:t xml:space="preserve">International Evidence Workshop</w:t>
      </w:r>
    </w:p>
    <w:p>
      <w:pPr>
        <w:spacing w:after="220"/>
        <w:jc w:val="center"/>
      </w:pPr>
      <w:r>
        <w:rPr>
          <w:i/>
          <w:iCs/>
          <w:sz w:val="20"/>
          <w:szCs w:val="20"/>
        </w:rPr>
        <w:t xml:space="preserve">Squad Packet — Drafting an MLAT Request</w:t>
      </w:r>
    </w:p>
    <w:p>
      <w:pPr>
        <w:spacing w:after="200"/>
        <w:jc w:val="center"/>
      </w:pPr>
      <w:r>
        <w:rPr>
          <w:b/>
          <w:bCs/>
          <w:color w:val="B00000"/>
        </w:rPr>
        <w:t xml:space="preserve">UNCLASSIFIED</w:t>
      </w:r>
    </w:p>
    <w:p>
      <w:pPr>
        <w:pStyle w:val="Heading2"/>
        <w:spacing w:after="110" w:before="220"/>
      </w:pPr>
      <w:r>
        <w:t xml:space="preserve">How this works</w:t>
      </w:r>
    </w:p>
    <w:p>
      <w:pPr>
        <w:spacing w:after="110"/>
      </w:pPr>
      <w:r>
        <w:t xml:space="preserve">Your squad will draft an actual MLAT request package for a fresh fact pattern (not the capstone case), using the OIA request-element checklist from this afternoon's lecture. Work through it together — talk out each element before anyone writes. You'll have about 45 minutes to draft, then you'll exchange your draft with another squad for peer review.</w:t>
      </w:r>
    </w:p>
    <w:p>
      <w:pPr>
        <w:spacing w:after="110"/>
      </w:pPr>
      <w:r>
        <w:t xml:space="preserve">This is a real work product, not a worksheet to fill in. By the end, your draft should be good enough that, with real names and dates substituted in, it could plausibly be submitted.</w:t>
      </w:r>
    </w:p>
    <w:p>
      <w:pPr>
        <w:pStyle w:val="Heading1"/>
        <w:spacing w:after="140" w:before="280"/>
      </w:pPr>
      <w:r>
        <w:t xml:space="preserve">The case</w:t>
      </w:r>
    </w:p>
    <w:p>
      <w:pPr>
        <w:pStyle w:val="ListParagraph"/>
        <w:numPr>
          <w:ilvl w:val="0"/>
          <w:numId w:val="1"/>
        </w:numPr>
        <w:spacing w:after="60"/>
      </w:pPr>
      <w:r>
        <w:t xml:space="preserve">Northline Freight Logistics, a mid-size trucking and freight-forwarding company headquartered in Ohio, reported a business email compromise resulting in two fraudulent wire transfers totaling $310,000.</w:t>
      </w:r>
    </w:p>
    <w:p>
      <w:pPr>
        <w:pStyle w:val="ListParagraph"/>
        <w:numPr>
          <w:ilvl w:val="0"/>
          <w:numId w:val="1"/>
        </w:numPr>
        <w:spacing w:after="60"/>
      </w:pPr>
      <w:r>
        <w:t xml:space="preserve">The CFO's email account was compromised via a phishing link. Vendor-payment instructions were subsequently altered in email threads with two regular vendors, redirecting the combined $310,000 to new account numbers.</w:t>
      </w:r>
    </w:p>
    <w:p>
      <w:pPr>
        <w:pStyle w:val="ListParagraph"/>
        <w:numPr>
          <w:ilvl w:val="0"/>
          <w:numId w:val="1"/>
        </w:numPr>
        <w:spacing w:after="60"/>
      </w:pPr>
      <w:r>
        <w:t xml:space="preserve">Header data recovered from Northline's own email system shows the forwarding-rule change on the CFO's mailbox was made from an external webmail account: cfo.updates@postbox-ro.example, hosted by PostBox RO, a webmail provider headquartered in Bucharest, Romania, with no U.S. presence.</w:t>
      </w:r>
    </w:p>
    <w:p>
      <w:pPr>
        <w:pStyle w:val="ListParagraph"/>
        <w:numPr>
          <w:ilvl w:val="0"/>
          <w:numId w:val="1"/>
        </w:numPr>
        <w:spacing w:after="60"/>
      </w:pPr>
      <w:r>
        <w:t xml:space="preserve">Login records already obtained from Northline's own U.S.-based email provider (which cooperated with a federal grand jury subpoena) show the attacker accessed the compromised mailbox from IP address 82.77.14.203 on multiple dates.</w:t>
      </w:r>
    </w:p>
    <w:p>
      <w:pPr>
        <w:pStyle w:val="ListParagraph"/>
        <w:numPr>
          <w:ilvl w:val="0"/>
          <w:numId w:val="1"/>
        </w:numPr>
        <w:spacing w:after="60"/>
      </w:pPr>
      <w:r>
        <w:t xml:space="preserve">Open-source WHOIS research shows 82.77.14.203 is allocated to Carpathia Cloud SRL, a hosting company in Cluj-Napoca, Romania, also with no U.S. presence.</w:t>
      </w:r>
    </w:p>
    <w:p>
      <w:pPr>
        <w:pStyle w:val="ListParagraph"/>
        <w:numPr>
          <w:ilvl w:val="0"/>
          <w:numId w:val="1"/>
        </w:numPr>
        <w:spacing w:after="60"/>
      </w:pPr>
      <w:r>
        <w:t xml:space="preserve">An Article 29 preservation request was sent to Romania's central authority three days after the foreign nexus was identified, covering the PostBox RO account and any Carpathia Cloud hosting logs tied to that IP address for the relevant date range. Confirmation of preservation was received five days later.</w:t>
      </w:r>
    </w:p>
    <w:p>
      <w:pPr>
        <w:pStyle w:val="ListParagraph"/>
        <w:numPr>
          <w:ilvl w:val="0"/>
          <w:numId w:val="1"/>
        </w:numPr>
        <w:spacing w:after="60"/>
      </w:pPr>
      <w:r>
        <w:t xml:space="preserve">A parallel U.S. subpoena to Meridian Pay Solutions (the U.S.-based payment processor used for one of the two fraudulent transfers) has already returned the destination account's opening documentation, which lists a name investigators believe is fictitious. That thread is a separate, already-progressing part of the case.</w:t>
      </w:r>
    </w:p>
    <w:p>
      <w:pPr>
        <w:pStyle w:val="ListParagraph"/>
        <w:numPr>
          <w:ilvl w:val="0"/>
          <w:numId w:val="1"/>
        </w:numPr>
        <w:spacing w:after="60"/>
      </w:pPr>
      <w:r>
        <w:t xml:space="preserve">Investigators now need, from Romania: (1) subscriber and account-opening information for cfo.updates@postbox-ro.example; (2) the content of that account's stored emails and its login/IP history for the relevant date range; (3) any hosting or subscriber records Carpathia Cloud SRL holds tied to IP address 82.77.14.203 for the same period.</w:t>
      </w:r>
    </w:p>
    <w:p>
      <w:pPr>
        <w:pStyle w:val="ListParagraph"/>
        <w:numPr>
          <w:ilvl w:val="0"/>
          <w:numId w:val="1"/>
        </w:numPr>
        <w:spacing w:after="60"/>
      </w:pPr>
      <w:r>
        <w:t xml:space="preserve">None of this is reachable through U.S. process — PostBox RO and Carpathia Cloud SRL both have no U.S. presence. Preservation is already secured and the U.S.-reachable parallel-cooperation avenue (Meridian Pay) is already in progress on its own track. What remains is the formal MLAT request to Romania for the PostBox RO and Carpathia Cloud evidence — the exercise below.</w:t>
      </w:r>
    </w:p>
    <w:p>
      <w:pPr>
        <w:pStyle w:val="Heading1"/>
        <w:spacing w:after="140" w:before="280"/>
      </w:pPr>
      <w:r>
        <w:t xml:space="preserve">Your task</w:t>
      </w:r>
    </w:p>
    <w:p>
      <w:pPr>
        <w:spacing w:after="110"/>
      </w:pPr>
      <w:r>
        <w:t xml:space="preserve">Draft the formal MLAT request to Romania's central authority covering the PostBox RO and Carpathia Cloud SRL evidence described above. Use the seven elements below as your structure. For each, there's a prompt — answer it directly, in the actual language you'd use in the request, not a summary of what you'd say.</w:t>
      </w:r>
    </w:p>
    <w:p>
      <w:pPr>
        <w:pStyle w:val="Heading3"/>
        <w:spacing w:after="80" w:before="160"/>
      </w:pPr>
      <w:r>
        <w:t xml:space="preserve">Element 1 — Requesting authority and case agent</w:t>
      </w:r>
    </w:p>
    <w:p>
      <w:pPr>
        <w:spacing w:after="110"/>
      </w:pPr>
      <w:r>
        <w:rPr>
          <w:i/>
          <w:iCs/>
        </w:rPr>
        <w:t xml:space="preserve">Who's asking; who can answer follow-up questions.</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3"/>
        <w:spacing w:after="80" w:before="160"/>
      </w:pPr>
      <w:r>
        <w:t xml:space="preserve">Element 2 — Statement of facts</w:t>
      </w:r>
    </w:p>
    <w:p>
      <w:pPr>
        <w:spacing w:after="110"/>
      </w:pPr>
      <w:r>
        <w:rPr>
          <w:i/>
          <w:iCs/>
        </w:rPr>
        <w:t xml:space="preserve">Sufficient for the receiving country to evaluate under their own law — not a U.S. probable-cause affidavit.</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3"/>
        <w:spacing w:after="80" w:before="160"/>
      </w:pPr>
      <w:r>
        <w:t xml:space="preserve">Element 3 — Specific data identification</w:t>
      </w:r>
    </w:p>
    <w:p>
      <w:pPr>
        <w:spacing w:after="110"/>
      </w:pPr>
      <w:r>
        <w:rPr>
          <w:i/>
          <w:iCs/>
        </w:rPr>
        <w:t xml:space="preserve">Provider, account, time range, data type — precise enough to act on.</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3"/>
        <w:spacing w:after="80" w:before="160"/>
      </w:pPr>
      <w:r>
        <w:t xml:space="preserve">Element 4 — Legal basis under U.S. law</w:t>
      </w:r>
    </w:p>
    <w:p>
      <w:pPr>
        <w:spacing w:after="110"/>
      </w:pPr>
      <w:r>
        <w:rPr>
          <w:i/>
          <w:iCs/>
        </w:rPr>
        <w:t xml:space="preserve">Which statute, which subsection, what the conduct constitutes.</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3"/>
        <w:spacing w:after="80" w:before="160"/>
      </w:pPr>
      <w:r>
        <w:t xml:space="preserve">Element 5 — Connection to the investigation</w:t>
      </w:r>
    </w:p>
    <w:p>
      <w:pPr>
        <w:spacing w:after="110"/>
      </w:pPr>
      <w:r>
        <w:rPr>
          <w:i/>
          <w:iCs/>
        </w:rPr>
        <w:t xml:space="preserve">Why this specific evidence matters to this specific case.</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3"/>
        <w:spacing w:after="80" w:before="160"/>
      </w:pPr>
      <w:r>
        <w:t xml:space="preserve">Element 6 — Confidentiality requirements</w:t>
      </w:r>
    </w:p>
    <w:p>
      <w:pPr>
        <w:spacing w:after="110"/>
      </w:pPr>
      <w:r>
        <w:rPr>
          <w:i/>
          <w:iCs/>
        </w:rPr>
        <w:t xml:space="preserve">What the U.S. needs kept confidential, and from whom.</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3"/>
        <w:spacing w:after="80" w:before="160"/>
      </w:pPr>
      <w:r>
        <w:t xml:space="preserve">Element 7 — Form-of-evidence requirements</w:t>
      </w:r>
    </w:p>
    <w:p>
      <w:pPr>
        <w:spacing w:after="110"/>
      </w:pPr>
      <w:r>
        <w:rPr>
          <w:i/>
          <w:iCs/>
        </w:rPr>
        <w:t xml:space="preserve">What's needed for eventual U.S. trial admissibility — attestation, hashes, original media.</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2"/>
        <w:spacing w:after="110" w:before="220"/>
      </w:pPr>
      <w:r>
        <w:t xml:space="preserve">Self-check before you finalize</w:t>
      </w:r>
    </w:p>
    <w:p>
      <w:pPr>
        <w:spacing w:after="110"/>
      </w:pPr>
      <w:r>
        <w:t xml:space="preserve">Apply the test from Slide 9: if a Romanian law enforcement officer with no knowledge of U.S. law read your Element 2 statement of facts cold, would they understand what happened, what's being requested, and why — without needing to look anything up? If not, revise it before moving on.</w:t>
      </w:r>
    </w:p>
    <w:p>
      <w:pPr>
        <w:pBdr>
          <w:bottom w:val="single" w:color="AAAAAA" w:sz="4"/>
        </w:pBdr>
        <w:spacing w:after="140"/>
      </w:pPr>
      <w:r>
        <w:t xml:space="preserve"> </w:t>
      </w:r>
    </w:p>
    <w:p>
      <w:pPr>
        <w:pBdr>
          <w:bottom w:val="single" w:color="AAAAAA" w:sz="4"/>
        </w:pBdr>
        <w:spacing w:after="140"/>
      </w:pPr>
      <w:r>
        <w:t xml:space="preserve"> </w:t>
      </w:r>
    </w:p>
    <w:p>
      <w:pPr>
        <w:pStyle w:val="Heading1"/>
        <w:spacing w:after="140" w:before="280"/>
      </w:pPr>
      <w:r>
        <w:t xml:space="preserve">Peer review</w:t>
      </w:r>
    </w:p>
    <w:p>
      <w:pPr>
        <w:spacing w:after="110"/>
      </w:pPr>
      <w:r>
        <w:t xml:space="preserve">Exchange your completed draft with another squad. Review their draft — not your own — using the worksheet below. Be specific: “vague” is not feedback; “your Element 3 doesn't say which provider holds which piece of data”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D9D9D9" w:val="clear"/>
            <w:tcMar>
              <w:top w:type="dxa" w:w="80"/>
              <w:left w:type="dxa" w:w="100"/>
              <w:bottom w:type="dxa" w:w="80"/>
              <w:right w:type="dxa" w:w="100"/>
            </w:tcMar>
          </w:tcPr>
          <w:p>
            <w:r>
              <w:rPr>
                <w:b/>
                <w:bCs/>
              </w:rPr>
              <w:t xml:space="preserve">Element</w:t>
            </w:r>
          </w:p>
        </w:tc>
        <w:tc>
          <w:tcPr>
            <w:tcW w:type="dxa" w:w="2600"/>
            <w:shd w:fill="D9D9D9" w:val="clear"/>
            <w:tcMar>
              <w:top w:type="dxa" w:w="80"/>
              <w:left w:type="dxa" w:w="100"/>
              <w:bottom w:type="dxa" w:w="80"/>
              <w:right w:type="dxa" w:w="100"/>
            </w:tcMar>
          </w:tcPr>
          <w:p>
            <w:r>
              <w:rPr>
                <w:b/>
                <w:bCs/>
              </w:rPr>
              <w:t xml:space="preserve">Present &amp; clear / Present but vague / Missing</w:t>
            </w:r>
          </w:p>
        </w:tc>
        <w:tc>
          <w:tcPr>
            <w:tcW w:type="dxa" w:w="4160"/>
            <w:shd w:fill="D9D9D9" w:val="clear"/>
            <w:tcMar>
              <w:top w:type="dxa" w:w="80"/>
              <w:left w:type="dxa" w:w="100"/>
              <w:bottom w:type="dxa" w:w="80"/>
              <w:right w:type="dxa" w:w="100"/>
            </w:tcMar>
          </w:tcPr>
          <w:p>
            <w:r>
              <w:rPr>
                <w:b/>
                <w:bCs/>
              </w:rPr>
              <w:t xml:space="preserve">Specific feedback</w:t>
            </w:r>
          </w:p>
        </w:tc>
      </w:tr>
      <w:tr>
        <w:tc>
          <w:tcPr>
            <w:tcW w:type="dxa" w:w="2600"/>
            <w:tcMar>
              <w:top w:type="dxa" w:w="80"/>
              <w:left w:type="dxa" w:w="100"/>
              <w:bottom w:type="dxa" w:w="80"/>
              <w:right w:type="dxa" w:w="100"/>
            </w:tcMar>
          </w:tcPr>
          <w:p>
            <w:r>
              <w:rPr>
                <w:b w:val="false"/>
                <w:bCs w:val="false"/>
              </w:rPr>
              <w:t xml:space="preserve">1. Requesting authority and case agent</w:t>
            </w:r>
          </w:p>
        </w:tc>
        <w:tc>
          <w:tcPr>
            <w:tcW w:type="dxa" w:w="2600"/>
            <w:tcMar>
              <w:top w:type="dxa" w:w="80"/>
              <w:left w:type="dxa" w:w="100"/>
              <w:bottom w:type="dxa" w:w="80"/>
              <w:right w:type="dxa" w:w="100"/>
            </w:tcMar>
          </w:tcPr>
          <w:p>
            <w:r>
              <w:rPr>
                <w:b w:val="false"/>
                <w:bCs w:val="false"/>
              </w:rPr>
              <w:t xml:space="preserve"/>
            </w:r>
          </w:p>
        </w:tc>
        <w:tc>
          <w:tcPr>
            <w:tcW w:type="dxa" w:w="41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2. Statement of facts</w:t>
            </w:r>
          </w:p>
        </w:tc>
        <w:tc>
          <w:tcPr>
            <w:tcW w:type="dxa" w:w="2600"/>
            <w:tcMar>
              <w:top w:type="dxa" w:w="80"/>
              <w:left w:type="dxa" w:w="100"/>
              <w:bottom w:type="dxa" w:w="80"/>
              <w:right w:type="dxa" w:w="100"/>
            </w:tcMar>
          </w:tcPr>
          <w:p>
            <w:r>
              <w:rPr>
                <w:b w:val="false"/>
                <w:bCs w:val="false"/>
              </w:rPr>
              <w:t xml:space="preserve"/>
            </w:r>
          </w:p>
        </w:tc>
        <w:tc>
          <w:tcPr>
            <w:tcW w:type="dxa" w:w="41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3. Specific data identification</w:t>
            </w:r>
          </w:p>
        </w:tc>
        <w:tc>
          <w:tcPr>
            <w:tcW w:type="dxa" w:w="2600"/>
            <w:tcMar>
              <w:top w:type="dxa" w:w="80"/>
              <w:left w:type="dxa" w:w="100"/>
              <w:bottom w:type="dxa" w:w="80"/>
              <w:right w:type="dxa" w:w="100"/>
            </w:tcMar>
          </w:tcPr>
          <w:p>
            <w:r>
              <w:rPr>
                <w:b w:val="false"/>
                <w:bCs w:val="false"/>
              </w:rPr>
              <w:t xml:space="preserve"/>
            </w:r>
          </w:p>
        </w:tc>
        <w:tc>
          <w:tcPr>
            <w:tcW w:type="dxa" w:w="41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4. Legal basis under U.S. law</w:t>
            </w:r>
          </w:p>
        </w:tc>
        <w:tc>
          <w:tcPr>
            <w:tcW w:type="dxa" w:w="2600"/>
            <w:tcMar>
              <w:top w:type="dxa" w:w="80"/>
              <w:left w:type="dxa" w:w="100"/>
              <w:bottom w:type="dxa" w:w="80"/>
              <w:right w:type="dxa" w:w="100"/>
            </w:tcMar>
          </w:tcPr>
          <w:p>
            <w:r>
              <w:rPr>
                <w:b w:val="false"/>
                <w:bCs w:val="false"/>
              </w:rPr>
              <w:t xml:space="preserve"/>
            </w:r>
          </w:p>
        </w:tc>
        <w:tc>
          <w:tcPr>
            <w:tcW w:type="dxa" w:w="41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5. Connection to the investigation</w:t>
            </w:r>
          </w:p>
        </w:tc>
        <w:tc>
          <w:tcPr>
            <w:tcW w:type="dxa" w:w="2600"/>
            <w:tcMar>
              <w:top w:type="dxa" w:w="80"/>
              <w:left w:type="dxa" w:w="100"/>
              <w:bottom w:type="dxa" w:w="80"/>
              <w:right w:type="dxa" w:w="100"/>
            </w:tcMar>
          </w:tcPr>
          <w:p>
            <w:r>
              <w:rPr>
                <w:b w:val="false"/>
                <w:bCs w:val="false"/>
              </w:rPr>
              <w:t xml:space="preserve"/>
            </w:r>
          </w:p>
        </w:tc>
        <w:tc>
          <w:tcPr>
            <w:tcW w:type="dxa" w:w="41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6. Confidentiality requirements</w:t>
            </w:r>
          </w:p>
        </w:tc>
        <w:tc>
          <w:tcPr>
            <w:tcW w:type="dxa" w:w="2600"/>
            <w:tcMar>
              <w:top w:type="dxa" w:w="80"/>
              <w:left w:type="dxa" w:w="100"/>
              <w:bottom w:type="dxa" w:w="80"/>
              <w:right w:type="dxa" w:w="100"/>
            </w:tcMar>
          </w:tcPr>
          <w:p>
            <w:r>
              <w:rPr>
                <w:b w:val="false"/>
                <w:bCs w:val="false"/>
              </w:rPr>
              <w:t xml:space="preserve"/>
            </w:r>
          </w:p>
        </w:tc>
        <w:tc>
          <w:tcPr>
            <w:tcW w:type="dxa" w:w="41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7. Form-of-evidence requirements</w:t>
            </w:r>
          </w:p>
        </w:tc>
        <w:tc>
          <w:tcPr>
            <w:tcW w:type="dxa" w:w="2600"/>
            <w:tcMar>
              <w:top w:type="dxa" w:w="80"/>
              <w:left w:type="dxa" w:w="100"/>
              <w:bottom w:type="dxa" w:w="80"/>
              <w:right w:type="dxa" w:w="100"/>
            </w:tcMar>
          </w:tcPr>
          <w:p>
            <w:r>
              <w:rPr>
                <w:b w:val="false"/>
                <w:bCs w:val="false"/>
              </w:rPr>
              <w:t xml:space="preserve"/>
            </w:r>
          </w:p>
        </w:tc>
        <w:tc>
          <w:tcPr>
            <w:tcW w:type="dxa" w:w="4160"/>
            <w:tcMar>
              <w:top w:type="dxa" w:w="80"/>
              <w:left w:type="dxa" w:w="100"/>
              <w:bottom w:type="dxa" w:w="80"/>
              <w:right w:type="dxa" w:w="100"/>
            </w:tcMar>
          </w:tcPr>
          <w:p>
            <w:r>
              <w:rPr>
                <w:b w:val="false"/>
                <w:bCs w:val="false"/>
              </w:rPr>
              <w:t xml:space="preserve"/>
            </w:r>
          </w:p>
        </w:tc>
      </w:tr>
    </w:tbl>
    <w:p>
      <w:pPr>
        <w:spacing w:after="110"/>
      </w:pPr>
      <w:r>
        <w:t xml:space="preserve"/>
      </w:r>
    </w:p>
    <w:p>
      <w:pPr>
        <w:pStyle w:val="Heading3"/>
        <w:spacing w:after="80" w:before="160"/>
      </w:pPr>
      <w:r>
        <w:t xml:space="preserve">Check against the six failure modes</w:t>
      </w:r>
    </w:p>
    <w:p>
      <w:pPr>
        <w:spacing w:after="110"/>
      </w:pPr>
      <w:r>
        <w:t xml:space="preserve">For each, note whether the draft you're reviewing shows any sign of this problem:</w:t>
      </w:r>
    </w:p>
    <w:p>
      <w:pPr>
        <w:pStyle w:val="ListParagraph"/>
        <w:numPr>
          <w:ilvl w:val="0"/>
          <w:numId w:val="1"/>
        </w:numPr>
        <w:spacing w:after="60"/>
      </w:pPr>
      <w:r>
        <w:t xml:space="preserve">Preservation never sent</w:t>
      </w:r>
    </w:p>
    <w:p>
      <w:pPr>
        <w:pStyle w:val="ListParagraph"/>
        <w:numPr>
          <w:ilvl w:val="0"/>
          <w:numId w:val="1"/>
        </w:numPr>
        <w:spacing w:after="60"/>
      </w:pPr>
      <w:r>
        <w:t xml:space="preserve">Vague data identification</w:t>
      </w:r>
    </w:p>
    <w:p>
      <w:pPr>
        <w:pStyle w:val="ListParagraph"/>
        <w:numPr>
          <w:ilvl w:val="0"/>
          <w:numId w:val="1"/>
        </w:numPr>
        <w:spacing w:after="60"/>
      </w:pPr>
      <w:r>
        <w:t xml:space="preserve">Insufficient facts under foreign law</w:t>
      </w:r>
    </w:p>
    <w:p>
      <w:pPr>
        <w:pStyle w:val="ListParagraph"/>
        <w:numPr>
          <w:ilvl w:val="0"/>
          <w:numId w:val="1"/>
        </w:numPr>
        <w:spacing w:after="60"/>
      </w:pPr>
      <w:r>
        <w:t xml:space="preserve">Confidentiality mismatch</w:t>
      </w:r>
    </w:p>
    <w:p>
      <w:pPr>
        <w:pStyle w:val="ListParagraph"/>
        <w:numPr>
          <w:ilvl w:val="0"/>
          <w:numId w:val="1"/>
        </w:numPr>
        <w:spacing w:after="60"/>
      </w:pPr>
      <w:r>
        <w:t xml:space="preserve">Foreign partner brought in late</w:t>
      </w:r>
    </w:p>
    <w:p>
      <w:pPr>
        <w:pStyle w:val="ListParagraph"/>
        <w:numPr>
          <w:ilvl w:val="0"/>
          <w:numId w:val="1"/>
        </w:numPr>
        <w:spacing w:after="60"/>
      </w:pPr>
      <w:r>
        <w:t xml:space="preserve">Incompatible evidentiary requirements</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2"/>
        <w:spacing w:after="110" w:before="220"/>
      </w:pPr>
      <w:r>
        <w:t xml:space="preserve">After peer review</w:t>
      </w:r>
    </w:p>
    <w:p>
      <w:pPr>
        <w:pStyle w:val="ListParagraph"/>
        <w:numPr>
          <w:ilvl w:val="0"/>
          <w:numId w:val="1"/>
        </w:numPr>
        <w:spacing w:after="60"/>
      </w:pPr>
      <w:r>
        <w:t xml:space="preserve">Take back your own draft along with the feedback you received.</w:t>
      </w:r>
    </w:p>
    <w:p>
      <w:pPr>
        <w:pStyle w:val="ListParagraph"/>
        <w:numPr>
          <w:ilvl w:val="0"/>
          <w:numId w:val="1"/>
        </w:numPr>
        <w:spacing w:after="60"/>
      </w:pPr>
      <w:r>
        <w:t xml:space="preserve">As a squad, identify the single change you'd make first if you had another 10 minutes.</w:t>
      </w:r>
    </w:p>
    <w:p>
      <w:pPr>
        <w:pStyle w:val="ListParagraph"/>
        <w:numPr>
          <w:ilvl w:val="0"/>
          <w:numId w:val="1"/>
        </w:numPr>
        <w:spacing w:after="60"/>
      </w:pPr>
      <w:r>
        <w:t xml:space="preserve">Be ready to share one thing your squad's draft got right and one thing the other squad's feedback caught that you'd missed.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Squad Packet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444444"/>
        <w:sz w:val="16"/>
        <w:szCs w:val="16"/>
      </w:rPr>
      <w:t xml:space="preserve">UNCLASSIFIED  ·  FBI Cyber Intrusion Investigation Course  ·  Day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2026-09-22T18:02:27.124Z</dcterms:created>
  <dcterms:modified xsi:type="dcterms:W3CDTF">2026-09-22T18:02:27.132Z</dcterms:modified>
</cp:coreProperties>
</file>

<file path=docProps/custom.xml><?xml version="1.0" encoding="utf-8"?>
<Properties xmlns="http://schemas.openxmlformats.org/officeDocument/2006/custom-properties" xmlns:vt="http://schemas.openxmlformats.org/officeDocument/2006/docPropsVTypes"/>
</file>