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5B6178"/>
          <w:sz w:val="20"/>
          <w:szCs w:val="20"/>
        </w:rPr>
        <w:t xml:space="preserve">PACT — PRACTICAL APPLICATIONS TO CYBER THREATS</w:t>
      </w:r>
    </w:p>
    <w:p>
      <w:pPr>
        <w:spacing w:after="60"/>
        <w:jc w:val="center"/>
      </w:pPr>
      <w:r>
        <w:rPr>
          <w:b/>
          <w:bCs/>
          <w:sz w:val="34"/>
          <w:szCs w:val="34"/>
        </w:rPr>
        <w:t xml:space="preserve">Day 3 (Wednesday) — Role Assignments</w:t>
      </w:r>
    </w:p>
    <w:p>
      <w:pPr>
        <w:spacing w:after="220"/>
        <w:jc w:val="center"/>
      </w:pPr>
      <w:r>
        <w:rPr>
          <w:i/>
          <w:iCs/>
          <w:sz w:val="22"/>
          <w:szCs w:val="22"/>
        </w:rPr>
        <w:t xml:space="preserve">"The Broker"</w:t>
      </w:r>
    </w:p>
    <w:p>
      <w:pPr>
        <w:spacing w:after="160"/>
        <w:jc w:val="center"/>
      </w:pPr>
      <w:r>
        <w:rPr>
          <w:b/>
          <w:bCs/>
          <w:color w:val="B00000"/>
        </w:rPr>
        <w:t xml:space="preserve">Individual role work — complete before squad synthesis</w:t>
      </w:r>
    </w:p>
    <w:p>
      <w:pPr>
        <w:pStyle w:val="Heading1"/>
        <w:pageBreakBefore/>
        <w:spacing w:after="140" w:before="300"/>
      </w:pPr>
      <w:r>
        <w:t xml:space="preserve">SA — Special Agent</w:t>
      </w:r>
    </w:p>
    <w:p>
      <w:pPr>
        <w:spacing w:after="100"/>
      </w:pPr>
      <w:r>
        <w:rPr>
          <w:i/>
          <w:iCs/>
        </w:rPr>
        <w:t xml:space="preserve">Own the probable-cause package end to end and decide go/no-go for the afternoon search operation.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What operation obtained the Black Harbor marketplace material?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A search warrant executed on a suspect's home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An authorized online covert employee (OCE) collection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A public web crawl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A confidential human source inside RestonIT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How many access listings by seller BRKR_AL match the four victims' characteristics?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Two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Three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Four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Five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Does any Black Harbor file name the four victims directly?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Yes, all four are named explicitly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No — listings are described by characteristics only, never named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Only CyberDyne is named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Only the hospital is named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The appliance's discovery record attributes the original install to NOC technician ______, but draws no conclusion about intent.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Your probable-cause package must be ready before the ______ brief, since it predicates the afternoon's field operation.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State your go/no-go recommendation for this afternoon's search and the single strongest element supporting it.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IA — Intelligence Analyst</w:t>
      </w:r>
    </w:p>
    <w:p>
      <w:pPr>
        <w:spacing w:after="100"/>
      </w:pPr>
      <w:r>
        <w:rPr>
          <w:i/>
          <w:iCs/>
        </w:rPr>
        <w:t xml:space="preserve">Correlate the Black Harbor listings' described characteristics to the four victims' known compromise profiles.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The BRKR_AL listing described as a “regional hospital AD service account” characteristic-matches which victim?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CyberDyne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Pixel Play Arcade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Dogwood Hotel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Redstone Memorial Hospital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The listing described as “hospitality O365 global admin” matches which victim?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Dogwood Hotel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Redstone Memorial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CyberDyne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Pixel Play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The listing described as “SMB entertainment local-admin/RDP” matches which victim?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CyberDyne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Pixel Play Arcade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Dogwood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Redstone Memorial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The remaining listing, “DC/colo management-plane” access, matches ______.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The captured BRKR_AL/BRKR_RU messages show the timing sequence as provision → ______ → intrusion.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State your confidence level (low/medium/high) that the four BRKR_AL listings correspond to the four victims, and justify it using the characteristic match alone (not the account-creation dates).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DA — Data Analyst</w:t>
      </w:r>
    </w:p>
    <w:p>
      <w:pPr>
        <w:spacing w:after="100"/>
      </w:pPr>
      <w:r>
        <w:rPr>
          <w:i/>
          <w:iCs/>
        </w:rPr>
        <w:t xml:space="preserve">Parse the raw crypto transaction export and quantify the fund flow across wallets w1, w2, w3, and the exchange.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What does wallet w1 represent in the crypto cluster analysis?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The buyer's payment wallet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The seller's proceeds wallet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The ransom wallet from Pixel Play's demand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RestonIT's business account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What does the cluster analysis show about wallets w2 and w3?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No relationship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w2 (buyer) pays w3 (seller)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w3 pays w2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They are the same wallet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Where do funds from wallet w3 ultimately flow, per the cluster analysis?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Back to wallet w1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To an offline cold wallet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To the CoinBridge exchange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To a second ransomware wallet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The blockchain analytics platform used clusters and traces flows, but does ______ attribute identity on its own.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State the flow direction you can support today, using wallet labels only: ______ → ______ → ______.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Quantify, in your own words, what today's crypto analysis adds to the case that yesterday's wallet-correlation (shared wallet for VeilStream and the lookalike domain) did not.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FoA — Forensic Accountant</w:t>
      </w:r>
    </w:p>
    <w:p>
      <w:pPr>
        <w:spacing w:after="100"/>
      </w:pPr>
      <w:r>
        <w:rPr>
          <w:i/>
          <w:iCs/>
        </w:rPr>
        <w:t xml:space="preserve">Review RestonIT's business banking return and transaction ledger for income inconsistent with a legitimate MSP.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What does RestonIT's banking return show, beyond legitimate MSP client payments?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Nothing unusual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Recurring crypto-exchange inbound deposits and unusually large owner draws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A large bank loan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Frequent overdraft fees only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What does the transaction ledger confirm about RestonIT's client base?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No client payments on record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It includes payments from all four victim businesses, corroborating the vendor tie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Payments from only one victim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RestonIT paying the victims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What personal-finance question does this return leave open for Thursday?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Whether Reston has a criminal record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Whether his personal spending, not just the business's, is inconsistent with income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Whether he owns a car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Whether he has a mortgage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The banking return shows deposits linked to a ______ exchange, the same one named in the crypto cluster analysis.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Reston's owner draws from the business account are described as unusually ______ relative to stated MSP income.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Based on the business banking return alone, describe the financial inconsistency you'd want to raise in today's probable-cause package.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SOS — Staff Operations/Tactical Specialist</w:t>
      </w:r>
    </w:p>
    <w:p>
      <w:pPr>
        <w:spacing w:after="100"/>
      </w:pPr>
      <w:r>
        <w:rPr>
          <w:i/>
          <w:iCs/>
        </w:rPr>
        <w:t xml:space="preserve">Coordinate the afternoon field search operation — review the command post's search-mechanics briefing and confirm role assignments.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What two locations does today's search operation cover?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Two RestonIT client sites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RestonIT LLC's business office and Alex Reston's residence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Only the RestonIT office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A storage unit and the RestonIT office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What must happen before the search operation can proceed?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Nothing, it's already authorized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A probable-cause package sufficient to support it must be completed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Only a verbal briefing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The Friday moot court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What is a Staff Operations/Tactical Specialist's core responsibility heading into a field operation like this?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Interviewing the subject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Coordinating logistics, safety planning, and role assignments for the operation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Drafting the charging document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Performing digital forensics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The search operation is scheduled for this ______, following the morning's probable-cause development.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Before departure, your squad should confirm each member's ______ for the operation.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List the operational/safety considerations your squad should confirm before departing for today's search.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TFO — Task Force Officer</w:t>
      </w:r>
    </w:p>
    <w:p>
      <w:pPr>
        <w:spacing w:after="100"/>
      </w:pPr>
      <w:r>
        <w:rPr>
          <w:i/>
          <w:iCs/>
        </w:rPr>
        <w:t xml:space="preserve">Maintain custody of the appliance-forensics production and confirm no local-agency conflict before today's search.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Where was the concealed network appliance physically found?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In CyberDyne's parking garage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Concealed in Rack C3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In Marcus Iyer's office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At RestonIT's office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Who does the appliance's access-history review list as having reach to that rack/segment?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Only D. Voss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Voss and the MSP engagement (RestonIT) — no conclusion drawn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Only Marcus Iyer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An unnamed contractor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As TFO, before today's search, what should you confirm with any local agency with prior contact with the subject or address?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Nothing — deconfliction was already done Tuesday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That there is no conflicting operation or officer presence expected at the search locations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Ask them to conduct the search instead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Request they seal the property early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The appliance was found physically concealed, which is why the provenance record states facts and draws no ______ about who placed it or why.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Today's productions (appliance forensics, banking return, marketplace collection) should each be logged with source, date received, and ______.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Describe your final deconfliction check before this afternoon's search and what you'd do if a local agency reported an open interest in the same address.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CS — Computer Scientist</w:t>
      </w:r>
    </w:p>
    <w:p>
      <w:pPr>
        <w:spacing w:after="100"/>
      </w:pPr>
      <w:r>
        <w:rPr>
          <w:i/>
          <w:iCs/>
        </w:rPr>
        <w:t xml:space="preserve">Technically analyze the appliance configuration and session log for the “two eras” pattern, and confirm the tool-signature match to Tuesday's account-creation records.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What does the appliance's configuration export show, technically?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A single, one-time setup with no changes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An original 2025-05 shadow-IT setup, plus an added persistent tunnel and remote-management enrollment from 2025-09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A factory-default configuration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Evidence of a full wipe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What management-login signature appears in the appliance's session log?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RMM-Agent/4.7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BRKR-Tool/2.0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VeilStream-Client/1.1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CoinBridge-API/3.0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How does that signature relate to Tuesday's evidence?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It's unrelated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It matches the signature associated with the account-creation activity at the other three victims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It only appears at CyberDyne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It proves Voss's innocence conclusively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The appliance's exfiltration tunnel flows recorded in the session log run from June ______ through June ______.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The appliance sat dormant from September 2025 until it was used for exfiltration in ______ 2026.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Explain, technically, why finding the same tool signature on the CyberDyne appliance and on the three other victims' account-creation records is significant.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Squad Synthesis Quiz — Day 3 (Wednesday)</w:t>
      </w:r>
    </w:p>
    <w:p>
      <w:pPr>
        <w:spacing w:after="100"/>
      </w:pPr>
      <w:r>
        <w:rPr>
          <w:i/>
          <w:iCs/>
        </w:rPr>
        <w:t xml:space="preserve">Complete this together, as a squad, after every role has finished its individual assessment.</w:t>
      </w:r>
    </w:p>
    <w:p>
      <w:pPr>
        <w:spacing w:after="100"/>
      </w:pPr>
      <w:r>
        <w:rPr>
          <w:b/>
          <w:bCs/>
        </w:rPr>
        <w:t xml:space="preserve">1. What single tool signature appears both in CyberDyne's appliance session log and in the account-creation records at the other three victims?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BRKR-Tool/2.0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RMM-Agent/4.7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CoinBridge-API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VeilStream-Client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What does the crypto cluster analysis show about fund flow?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The victims paid the buyer directly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The buyer wallet (w2) paid the seller wallet (w3), which flowed to CoinBridge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CoinBridge paid the ransom wallet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No flow could be established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Do any Black Harbor listings name the four victims directly?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Yes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No — they're described only by characteristics that match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Only two are named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All are named except CyberDyne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What must be true before this afternoon's search can proceed?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A completed, artifact-cited probable-cause package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A confession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A civil court order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Nothing further is needed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Which two dead-end leads should be formally ruled out today, not just ignored?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The Hartwell Logistics angle and the twice-failed phishing-test employee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Marcus Iyer and D. Voss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Sam Smith and Jordan Reston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CoinBridge and VeilStream</w:t>
      </w:r>
    </w:p>
    <w:p>
      <w:pPr>
        <w:spacing w:after="1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UNCLASSIFIED//FOUO//PACT   ·  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1E2761"/>
        <w:sz w:val="16"/>
        <w:szCs w:val="16"/>
      </w:rPr>
      <w:t xml:space="preserve">UNCLASSIFIED//FOUO//PACT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2026-09-16T19:40:33.241Z</dcterms:created>
  <dcterms:modified xsi:type="dcterms:W3CDTF">2026-09-16T19:40:33.241Z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