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PACT — PRACTICAL APPLICATIONS TO CYBER THREATS</w:t>
      </w:r>
    </w:p>
    <w:p>
      <w:pPr>
        <w:spacing w:after="60"/>
        <w:jc w:val="center"/>
      </w:pPr>
      <w:r>
        <w:rPr>
          <w:b/>
          <w:bCs/>
          <w:sz w:val="34"/>
          <w:szCs w:val="34"/>
        </w:rPr>
        <w:t xml:space="preserve">Day 4 (Thursday) — Role Assignments</w:t>
      </w:r>
    </w:p>
    <w:p>
      <w:pPr>
        <w:spacing w:after="220"/>
        <w:jc w:val="center"/>
      </w:pPr>
      <w:r>
        <w:rPr>
          <w:i/>
          <w:iCs/>
          <w:sz w:val="22"/>
          <w:szCs w:val="22"/>
        </w:rPr>
        <w:t xml:space="preserve">"The Case"</w:t>
      </w:r>
    </w:p>
    <w:p>
      <w:pPr>
        <w:spacing w:after="160"/>
        <w:jc w:val="center"/>
      </w:pPr>
      <w:r>
        <w:rPr>
          <w:b/>
          <w:bCs/>
          <w:color w:val="B00000"/>
        </w:rPr>
        <w:t xml:space="preserve">Individual role work — complete before squad synthesis</w:t>
      </w:r>
    </w:p>
    <w:p>
      <w:pPr>
        <w:pStyle w:val="Heading1"/>
        <w:pageBreakBefore/>
        <w:spacing w:after="140" w:before="300"/>
      </w:pPr>
      <w:r>
        <w:t xml:space="preserve">SA — Special Agent</w:t>
      </w:r>
    </w:p>
    <w:p>
      <w:pPr>
        <w:spacing w:after="100"/>
      </w:pPr>
      <w:r>
        <w:rPr>
          <w:i/>
          <w:iCs/>
        </w:rPr>
        <w:t xml:space="preserve">Own the final attribution memo and charging outline.</w:t>
      </w:r>
    </w:p>
    <w:p>
      <w:pPr>
        <w:pStyle w:val="Heading2"/>
        <w:spacing w:after="100" w:before="200"/>
      </w:pPr>
      <w:r>
        <w:t xml:space="preserve">Assessment items</w:t>
      </w:r>
    </w:p>
    <w:p>
      <w:pPr>
        <w:spacing w:after="100"/>
      </w:pPr>
      <w:r>
        <w:rPr>
          <w:b/>
          <w:bCs/>
        </w:rPr>
        <w:t xml:space="preserve">1. What forensic item on Reston's personal laptop matches the BRKR_AL public key from the marketplace profile?</w:t>
      </w:r>
    </w:p>
    <w:p>
      <w:pPr>
        <w:spacing w:after="40"/>
        <w:ind w:left="360"/>
      </w:pPr>
      <w:r>
        <w:rPr>
          <w:b w:val="false"/>
          <w:bCs w:val="false"/>
          <w:color w:val="000000"/>
        </w:rPr>
        <w:t xml:space="preserve">A. A browser cookie</w:t>
      </w:r>
    </w:p>
    <w:p>
      <w:pPr>
        <w:spacing w:after="40"/>
        <w:ind w:left="360"/>
      </w:pPr>
      <w:r>
        <w:rPr>
          <w:b w:val="false"/>
          <w:bCs w:val="false"/>
          <w:color w:val="000000"/>
        </w:rPr>
        <w:t xml:space="preserve">B. A recovered PGP private key</w:t>
      </w:r>
    </w:p>
    <w:p>
      <w:pPr>
        <w:spacing w:after="40"/>
        <w:ind w:left="360"/>
      </w:pPr>
      <w:r>
        <w:rPr>
          <w:b w:val="false"/>
          <w:bCs w:val="false"/>
          <w:color w:val="000000"/>
        </w:rPr>
        <w:t xml:space="preserve">C. A saved password</w:t>
      </w:r>
    </w:p>
    <w:p>
      <w:pPr>
        <w:spacing w:after="40"/>
        <w:ind w:left="360"/>
      </w:pPr>
      <w:r>
        <w:rPr>
          <w:b w:val="false"/>
          <w:bCs w:val="false"/>
          <w:color w:val="000000"/>
        </w:rPr>
        <w:t xml:space="preserve">D. A deleted email</w:t>
      </w:r>
    </w:p>
    <w:p>
      <w:pPr>
        <w:spacing w:after="100"/>
      </w:pPr>
      <w:r>
        <w:t xml:space="preserve"/>
      </w:r>
    </w:p>
    <w:p>
      <w:pPr>
        <w:spacing w:after="100"/>
      </w:pPr>
      <w:r>
        <w:rPr>
          <w:b/>
          <w:bCs/>
        </w:rPr>
        <w:t xml:space="preserve">2. What does the client_access_matrix.csv show about the four original victims' status?</w:t>
      </w:r>
    </w:p>
    <w:p>
      <w:pPr>
        <w:spacing w:after="40"/>
        <w:ind w:left="360"/>
      </w:pPr>
      <w:r>
        <w:rPr>
          <w:b w:val="false"/>
          <w:bCs w:val="false"/>
          <w:color w:val="000000"/>
        </w:rPr>
        <w:t xml:space="preserve">A. Dormant, never used</w:t>
      </w:r>
    </w:p>
    <w:p>
      <w:pPr>
        <w:spacing w:after="40"/>
        <w:ind w:left="360"/>
      </w:pPr>
      <w:r>
        <w:rPr>
          <w:b w:val="false"/>
          <w:bCs w:val="false"/>
          <w:color w:val="000000"/>
        </w:rPr>
        <w:t xml:space="preserve">B. SOLD, referencing sale ref BH-0314</w:t>
      </w:r>
    </w:p>
    <w:p>
      <w:pPr>
        <w:spacing w:after="40"/>
        <w:ind w:left="360"/>
      </w:pPr>
      <w:r>
        <w:rPr>
          <w:b w:val="false"/>
          <w:bCs w:val="false"/>
          <w:color w:val="000000"/>
        </w:rPr>
        <w:t xml:space="preserve">C. Deleted</w:t>
      </w:r>
    </w:p>
    <w:p>
      <w:pPr>
        <w:spacing w:after="40"/>
        <w:ind w:left="360"/>
      </w:pPr>
      <w:r>
        <w:rPr>
          <w:b w:val="false"/>
          <w:bCs w:val="false"/>
          <w:color w:val="000000"/>
        </w:rPr>
        <w:t xml:space="preserve">D. Transferred to another vendor</w:t>
      </w:r>
    </w:p>
    <w:p>
      <w:pPr>
        <w:spacing w:after="100"/>
      </w:pPr>
      <w:r>
        <w:t xml:space="preserve"/>
      </w:r>
    </w:p>
    <w:p>
      <w:pPr>
        <w:spacing w:after="100"/>
      </w:pPr>
      <w:r>
        <w:rPr>
          <w:b/>
          <w:bCs/>
        </w:rPr>
        <w:t xml:space="preserve">3. What single file is described as “the centerpiece” of Thursday's evidence?</w:t>
      </w:r>
    </w:p>
    <w:p>
      <w:pPr>
        <w:spacing w:after="40"/>
        <w:ind w:left="360"/>
      </w:pPr>
      <w:r>
        <w:rPr>
          <w:b w:val="false"/>
          <w:bCs w:val="false"/>
          <w:color w:val="000000"/>
        </w:rPr>
        <w:t xml:space="preserve">A. The seized evidence inventory</w:t>
      </w:r>
    </w:p>
    <w:p>
      <w:pPr>
        <w:spacing w:after="40"/>
        <w:ind w:left="360"/>
      </w:pPr>
      <w:r>
        <w:rPr>
          <w:b w:val="false"/>
          <w:bCs w:val="false"/>
          <w:color w:val="000000"/>
        </w:rPr>
        <w:t xml:space="preserve">B. The client_access_matrix.csv</w:t>
      </w:r>
    </w:p>
    <w:p>
      <w:pPr>
        <w:spacing w:after="40"/>
        <w:ind w:left="360"/>
      </w:pPr>
      <w:r>
        <w:rPr>
          <w:b w:val="false"/>
          <w:bCs w:val="false"/>
          <w:color w:val="000000"/>
        </w:rPr>
        <w:t xml:space="preserve">C. The PGP keyring export</w:t>
      </w:r>
    </w:p>
    <w:p>
      <w:pPr>
        <w:spacing w:after="40"/>
        <w:ind w:left="360"/>
      </w:pPr>
      <w:r>
        <w:rPr>
          <w:b w:val="false"/>
          <w:bCs w:val="false"/>
          <w:color w:val="000000"/>
        </w:rPr>
        <w:t xml:space="preserve">D. The CoinBridge KYC return</w:t>
      </w:r>
    </w:p>
    <w:p>
      <w:pPr>
        <w:spacing w:after="100"/>
      </w:pPr>
      <w:r>
        <w:t xml:space="preserve"/>
      </w:r>
    </w:p>
    <w:p>
      <w:pPr>
        <w:spacing w:after="100"/>
      </w:pPr>
      <w:r>
        <w:rPr>
          <w:b/>
          <w:bCs/>
        </w:rPr>
        <w:t xml:space="preserve">4. The PGP private key recovered from Reston's laptop carries the UID “brkr_al &lt;______&gt;”.</w:t>
      </w:r>
    </w:p>
    <w:p>
      <w:pPr>
        <w:pBdr>
          <w:bottom w:val="single" w:color="AAAAAA" w:sz="4"/>
        </w:pBdr>
        <w:spacing w:after="160"/>
      </w:pPr>
      <w:r>
        <w:t xml:space="preserve"> </w:t>
      </w:r>
    </w:p>
    <w:p>
      <w:pPr>
        <w:spacing w:after="100"/>
      </w:pPr>
      <w:r>
        <w:t xml:space="preserve"/>
      </w:r>
    </w:p>
    <w:p>
      <w:pPr>
        <w:spacing w:after="100"/>
      </w:pPr>
      <w:r>
        <w:rPr>
          <w:b/>
          <w:bCs/>
        </w:rPr>
        <w:t xml:space="preserve">5. Your attribution memo must state a ______ level, not just a conclusion.</w:t>
      </w:r>
    </w:p>
    <w:p>
      <w:pPr>
        <w:pBdr>
          <w:bottom w:val="single" w:color="AAAAAA" w:sz="4"/>
        </w:pBdr>
        <w:spacing w:after="160"/>
      </w:pPr>
      <w:r>
        <w:t xml:space="preserve"> </w:t>
      </w:r>
    </w:p>
    <w:p>
      <w:pPr>
        <w:spacing w:after="100"/>
      </w:pPr>
      <w:r>
        <w:t xml:space="preserve"/>
      </w:r>
    </w:p>
    <w:p>
      <w:pPr>
        <w:spacing w:after="100"/>
      </w:pPr>
      <w:r>
        <w:rPr>
          <w:b/>
          <w:bCs/>
        </w:rPr>
        <w:t xml:space="preserve">6. State your attribution conclusion and confidence level, citing the single strongest artifact.</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spacing w:after="100"/>
      </w:pPr>
      <w:r>
        <w:t xml:space="preserve"/>
      </w:r>
    </w:p>
    <w:p>
      <w:pPr>
        <w:pStyle w:val="Heading1"/>
        <w:pageBreakBefore/>
        <w:spacing w:after="140" w:before="300"/>
      </w:pPr>
      <w:r>
        <w:t xml:space="preserve">IA — Intelligence Analyst</w:t>
      </w:r>
    </w:p>
    <w:p>
      <w:pPr>
        <w:spacing w:after="100"/>
      </w:pPr>
      <w:r>
        <w:rPr>
          <w:i/>
          <w:iCs/>
        </w:rPr>
        <w:t xml:space="preserve">Synthesize the forensic identity tie and frame the attribution's confidence level appropriately for intelligence versus legal products.</w:t>
      </w:r>
    </w:p>
    <w:p>
      <w:pPr>
        <w:pStyle w:val="Heading2"/>
        <w:spacing w:after="100" w:before="200"/>
      </w:pPr>
      <w:r>
        <w:t xml:space="preserve">Assessment items</w:t>
      </w:r>
    </w:p>
    <w:p>
      <w:pPr>
        <w:spacing w:after="100"/>
      </w:pPr>
      <w:r>
        <w:rPr>
          <w:b/>
          <w:bCs/>
        </w:rPr>
        <w:t xml:space="preserve">1. Where should confidence-level language (e.g., “high confidence”) appear?</w:t>
      </w:r>
    </w:p>
    <w:p>
      <w:pPr>
        <w:spacing w:after="40"/>
        <w:ind w:left="360"/>
      </w:pPr>
      <w:r>
        <w:rPr>
          <w:b w:val="false"/>
          <w:bCs w:val="false"/>
          <w:color w:val="000000"/>
        </w:rPr>
        <w:t xml:space="preserve">A. In the charging document</w:t>
      </w:r>
    </w:p>
    <w:p>
      <w:pPr>
        <w:spacing w:after="40"/>
        <w:ind w:left="360"/>
      </w:pPr>
      <w:r>
        <w:rPr>
          <w:b w:val="false"/>
          <w:bCs w:val="false"/>
          <w:color w:val="000000"/>
        </w:rPr>
        <w:t xml:space="preserve">B. In intelligence products, not in the charging document, which sticks to facts</w:t>
      </w:r>
    </w:p>
    <w:p>
      <w:pPr>
        <w:spacing w:after="40"/>
        <w:ind w:left="360"/>
      </w:pPr>
      <w:r>
        <w:rPr>
          <w:b w:val="false"/>
          <w:bCs w:val="false"/>
          <w:color w:val="000000"/>
        </w:rPr>
        <w:t xml:space="preserve">C. Nowhere — confidence should never be stated</w:t>
      </w:r>
    </w:p>
    <w:p>
      <w:pPr>
        <w:spacing w:after="40"/>
        <w:ind w:left="360"/>
      </w:pPr>
      <w:r>
        <w:rPr>
          <w:b w:val="false"/>
          <w:bCs w:val="false"/>
          <w:color w:val="000000"/>
        </w:rPr>
        <w:t xml:space="preserve">D. Only in casual conversation</w:t>
      </w:r>
    </w:p>
    <w:p>
      <w:pPr>
        <w:spacing w:after="100"/>
      </w:pPr>
      <w:r>
        <w:t xml:space="preserve"/>
      </w:r>
    </w:p>
    <w:p>
      <w:pPr>
        <w:spacing w:after="100"/>
      </w:pPr>
      <w:r>
        <w:rPr>
          <w:b/>
          <w:bCs/>
        </w:rPr>
        <w:t xml:space="preserve">2. What does Reston's browser history show about the “d.kort92” identity?</w:t>
      </w:r>
    </w:p>
    <w:p>
      <w:pPr>
        <w:spacing w:after="40"/>
        <w:ind w:left="360"/>
      </w:pPr>
      <w:r>
        <w:rPr>
          <w:b w:val="false"/>
          <w:bCs w:val="false"/>
          <w:color w:val="000000"/>
        </w:rPr>
        <w:t xml:space="preserve">A. It appears frequently, confirming Reston is the buyer</w:t>
      </w:r>
    </w:p>
    <w:p>
      <w:pPr>
        <w:spacing w:after="40"/>
        <w:ind w:left="360"/>
      </w:pPr>
      <w:r>
        <w:rPr>
          <w:b w:val="false"/>
          <w:bCs w:val="false"/>
          <w:color w:val="000000"/>
        </w:rPr>
        <w:t xml:space="preserve">B. It does NOT appear — consistent with Reston being the seller (BRKR_AL), not the buyer (BRKR_RU)</w:t>
      </w:r>
    </w:p>
    <w:p>
      <w:pPr>
        <w:spacing w:after="40"/>
        <w:ind w:left="360"/>
      </w:pPr>
      <w:r>
        <w:rPr>
          <w:b w:val="false"/>
          <w:bCs w:val="false"/>
          <w:color w:val="000000"/>
        </w:rPr>
        <w:t xml:space="preserve">C. It appears once</w:t>
      </w:r>
    </w:p>
    <w:p>
      <w:pPr>
        <w:spacing w:after="40"/>
        <w:ind w:left="360"/>
      </w:pPr>
      <w:r>
        <w:rPr>
          <w:b w:val="false"/>
          <w:bCs w:val="false"/>
          <w:color w:val="000000"/>
        </w:rPr>
        <w:t xml:space="preserve">D. It's inconclusive</w:t>
      </w:r>
    </w:p>
    <w:p>
      <w:pPr>
        <w:spacing w:after="100"/>
      </w:pPr>
      <w:r>
        <w:t xml:space="preserve"/>
      </w:r>
    </w:p>
    <w:p>
      <w:pPr>
        <w:spacing w:after="100"/>
      </w:pPr>
      <w:r>
        <w:rPr>
          <w:b/>
          <w:bCs/>
        </w:rPr>
        <w:t xml:space="preserve">3. What identity tie connects the residence laptop directly to the Black Harbor seller profile?</w:t>
      </w:r>
    </w:p>
    <w:p>
      <w:pPr>
        <w:spacing w:after="40"/>
        <w:ind w:left="360"/>
      </w:pPr>
      <w:r>
        <w:rPr>
          <w:b w:val="false"/>
          <w:bCs w:val="false"/>
          <w:color w:val="000000"/>
        </w:rPr>
        <w:t xml:space="preserve">A. The wallet export alone</w:t>
      </w:r>
    </w:p>
    <w:p>
      <w:pPr>
        <w:spacing w:after="40"/>
        <w:ind w:left="360"/>
      </w:pPr>
      <w:r>
        <w:rPr>
          <w:b w:val="false"/>
          <w:bCs w:val="false"/>
          <w:color w:val="000000"/>
        </w:rPr>
        <w:t xml:space="preserve">B. The PGP private key matching the BRKR_AL public key on the marketplace profile</w:t>
      </w:r>
    </w:p>
    <w:p>
      <w:pPr>
        <w:spacing w:after="40"/>
        <w:ind w:left="360"/>
      </w:pPr>
      <w:r>
        <w:rPr>
          <w:b w:val="false"/>
          <w:bCs w:val="false"/>
          <w:color w:val="000000"/>
        </w:rPr>
        <w:t xml:space="preserve">C. The browser history alone</w:t>
      </w:r>
    </w:p>
    <w:p>
      <w:pPr>
        <w:spacing w:after="40"/>
        <w:ind w:left="360"/>
      </w:pPr>
      <w:r>
        <w:rPr>
          <w:b w:val="false"/>
          <w:bCs w:val="false"/>
          <w:color w:val="000000"/>
        </w:rPr>
        <w:t xml:space="preserve">D. The personal financial records</w:t>
      </w:r>
    </w:p>
    <w:p>
      <w:pPr>
        <w:spacing w:after="100"/>
      </w:pPr>
      <w:r>
        <w:t xml:space="preserve"/>
      </w:r>
    </w:p>
    <w:p>
      <w:pPr>
        <w:spacing w:after="100"/>
      </w:pPr>
      <w:r>
        <w:rPr>
          <w:b/>
          <w:bCs/>
        </w:rPr>
        <w:t xml:space="preserve">4. The forensic identity tie is strong because the recovered key is a ______ key, not just a public one.</w:t>
      </w:r>
    </w:p>
    <w:p>
      <w:pPr>
        <w:pBdr>
          <w:bottom w:val="single" w:color="AAAAAA" w:sz="4"/>
        </w:pBdr>
        <w:spacing w:after="160"/>
      </w:pPr>
      <w:r>
        <w:t xml:space="preserve"> </w:t>
      </w:r>
    </w:p>
    <w:p>
      <w:pPr>
        <w:spacing w:after="100"/>
      </w:pPr>
      <w:r>
        <w:t xml:space="preserve"/>
      </w:r>
    </w:p>
    <w:p>
      <w:pPr>
        <w:spacing w:after="100"/>
      </w:pPr>
      <w:r>
        <w:rPr>
          <w:b/>
          <w:bCs/>
        </w:rPr>
        <w:t xml:space="preserve">5. Reston's own client-access matrix documents a ______ lifecycle: provisioned, dormant, listed, sold.</w:t>
      </w:r>
    </w:p>
    <w:p>
      <w:pPr>
        <w:pBdr>
          <w:bottom w:val="single" w:color="AAAAAA" w:sz="4"/>
        </w:pBdr>
        <w:spacing w:after="160"/>
      </w:pPr>
      <w:r>
        <w:t xml:space="preserve"> </w:t>
      </w:r>
    </w:p>
    <w:p>
      <w:pPr>
        <w:spacing w:after="100"/>
      </w:pPr>
      <w:r>
        <w:t xml:space="preserve"/>
      </w:r>
    </w:p>
    <w:p>
      <w:pPr>
        <w:spacing w:after="100"/>
      </w:pPr>
      <w:r>
        <w:rPr>
          <w:b/>
          <w:bCs/>
        </w:rPr>
        <w:t xml:space="preserve">6. Write one sentence, suitable for an intelligence product, stating your attribution confidence and why it does not belong verbatim in the charging document.</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spacing w:after="100"/>
      </w:pPr>
      <w:r>
        <w:t xml:space="preserve"/>
      </w:r>
    </w:p>
    <w:p>
      <w:pPr>
        <w:pStyle w:val="Heading1"/>
        <w:pageBreakBefore/>
        <w:spacing w:after="140" w:before="300"/>
      </w:pPr>
      <w:r>
        <w:t xml:space="preserve">DA — Data Analyst</w:t>
      </w:r>
    </w:p>
    <w:p>
      <w:pPr>
        <w:spacing w:after="100"/>
      </w:pPr>
      <w:r>
        <w:rPr>
          <w:i/>
          <w:iCs/>
        </w:rPr>
        <w:t xml:space="preserve">Quantify the proceeds trail using the CoinBridge KYC return and the client-access matrix's sale reference.</w:t>
      </w:r>
    </w:p>
    <w:p>
      <w:pPr>
        <w:pStyle w:val="Heading2"/>
        <w:spacing w:after="100" w:before="200"/>
      </w:pPr>
      <w:r>
        <w:t xml:space="preserve">Assessment items</w:t>
      </w:r>
    </w:p>
    <w:p>
      <w:pPr>
        <w:spacing w:after="100"/>
      </w:pPr>
      <w:r>
        <w:rPr>
          <w:b/>
          <w:bCs/>
        </w:rPr>
        <w:t xml:space="preserve">1. What sale reference appears in the client-access matrix for the four sold victims?</w:t>
      </w:r>
    </w:p>
    <w:p>
      <w:pPr>
        <w:spacing w:after="40"/>
        <w:ind w:left="360"/>
      </w:pPr>
      <w:r>
        <w:rPr>
          <w:b w:val="false"/>
          <w:bCs w:val="false"/>
          <w:color w:val="000000"/>
        </w:rPr>
        <w:t xml:space="preserve">A. BH-0102</w:t>
      </w:r>
    </w:p>
    <w:p>
      <w:pPr>
        <w:spacing w:after="40"/>
        <w:ind w:left="360"/>
      </w:pPr>
      <w:r>
        <w:rPr>
          <w:b w:val="false"/>
          <w:bCs w:val="false"/>
          <w:color w:val="000000"/>
        </w:rPr>
        <w:t xml:space="preserve">B. BH-0314</w:t>
      </w:r>
    </w:p>
    <w:p>
      <w:pPr>
        <w:spacing w:after="40"/>
        <w:ind w:left="360"/>
      </w:pPr>
      <w:r>
        <w:rPr>
          <w:b w:val="false"/>
          <w:bCs w:val="false"/>
          <w:color w:val="000000"/>
        </w:rPr>
        <w:t xml:space="preserve">C. CB-4471</w:t>
      </w:r>
    </w:p>
    <w:p>
      <w:pPr>
        <w:spacing w:after="40"/>
        <w:ind w:left="360"/>
      </w:pPr>
      <w:r>
        <w:rPr>
          <w:b w:val="false"/>
          <w:bCs w:val="false"/>
          <w:color w:val="000000"/>
        </w:rPr>
        <w:t xml:space="preserve">D. VS-88213</w:t>
      </w:r>
    </w:p>
    <w:p>
      <w:pPr>
        <w:spacing w:after="100"/>
      </w:pPr>
      <w:r>
        <w:t xml:space="preserve"/>
      </w:r>
    </w:p>
    <w:p>
      <w:pPr>
        <w:spacing w:after="100"/>
      </w:pPr>
      <w:r>
        <w:rPr>
          <w:b/>
          <w:bCs/>
        </w:rPr>
        <w:t xml:space="preserve">2. What two accounts received withdrawals from wallet w3 per the CoinBridge KYC return?</w:t>
      </w:r>
    </w:p>
    <w:p>
      <w:pPr>
        <w:spacing w:after="40"/>
        <w:ind w:left="360"/>
      </w:pPr>
      <w:r>
        <w:rPr>
          <w:b w:val="false"/>
          <w:bCs w:val="false"/>
          <w:color w:val="000000"/>
        </w:rPr>
        <w:t xml:space="preserve">A. Two unrelated third-party accounts</w:t>
      </w:r>
    </w:p>
    <w:p>
      <w:pPr>
        <w:spacing w:after="40"/>
        <w:ind w:left="360"/>
      </w:pPr>
      <w:r>
        <w:rPr>
          <w:b w:val="false"/>
          <w:bCs w:val="false"/>
          <w:color w:val="000000"/>
        </w:rPr>
        <w:t xml:space="preserve">B. RestonIT's operating account and Alex Reston's personal account</w:t>
      </w:r>
    </w:p>
    <w:p>
      <w:pPr>
        <w:spacing w:after="40"/>
        <w:ind w:left="360"/>
      </w:pPr>
      <w:r>
        <w:rPr>
          <w:b w:val="false"/>
          <w:bCs w:val="false"/>
          <w:color w:val="000000"/>
        </w:rPr>
        <w:t xml:space="preserve">C. Only a business account</w:t>
      </w:r>
    </w:p>
    <w:p>
      <w:pPr>
        <w:spacing w:after="40"/>
        <w:ind w:left="360"/>
      </w:pPr>
      <w:r>
        <w:rPr>
          <w:b w:val="false"/>
          <w:bCs w:val="false"/>
          <w:color w:val="000000"/>
        </w:rPr>
        <w:t xml:space="preserve">D. Only Sam Smith's account</w:t>
      </w:r>
    </w:p>
    <w:p>
      <w:pPr>
        <w:spacing w:after="100"/>
      </w:pPr>
      <w:r>
        <w:t xml:space="preserve"/>
      </w:r>
    </w:p>
    <w:p>
      <w:pPr>
        <w:spacing w:after="100"/>
      </w:pPr>
      <w:r>
        <w:rPr>
          <w:b/>
          <w:bCs/>
        </w:rPr>
        <w:t xml:space="preserve">3. What do Reston's personal financial records show relative to his stated income?</w:t>
      </w:r>
    </w:p>
    <w:p>
      <w:pPr>
        <w:spacing w:after="40"/>
        <w:ind w:left="360"/>
      </w:pPr>
      <w:r>
        <w:rPr>
          <w:b w:val="false"/>
          <w:bCs w:val="false"/>
          <w:color w:val="000000"/>
        </w:rPr>
        <w:t xml:space="preserve">A. Spending well below income</w:t>
      </w:r>
    </w:p>
    <w:p>
      <w:pPr>
        <w:spacing w:after="40"/>
        <w:ind w:left="360"/>
      </w:pPr>
      <w:r>
        <w:rPr>
          <w:b w:val="false"/>
          <w:bCs w:val="false"/>
          <w:color w:val="000000"/>
        </w:rPr>
        <w:t xml:space="preserve">B. Spending materially exceeding legitimate MSP income</w:t>
      </w:r>
    </w:p>
    <w:p>
      <w:pPr>
        <w:spacing w:after="40"/>
        <w:ind w:left="360"/>
      </w:pPr>
      <w:r>
        <w:rPr>
          <w:b w:val="false"/>
          <w:bCs w:val="false"/>
          <w:color w:val="000000"/>
        </w:rPr>
        <w:t xml:space="preserve">C. No personal spending recorded</w:t>
      </w:r>
    </w:p>
    <w:p>
      <w:pPr>
        <w:spacing w:after="40"/>
        <w:ind w:left="360"/>
      </w:pPr>
      <w:r>
        <w:rPr>
          <w:b w:val="false"/>
          <w:bCs w:val="false"/>
          <w:color w:val="000000"/>
        </w:rPr>
        <w:t xml:space="preserve">D. Personal and business income are identical</w:t>
      </w:r>
    </w:p>
    <w:p>
      <w:pPr>
        <w:spacing w:after="100"/>
      </w:pPr>
      <w:r>
        <w:t xml:space="preserve"/>
      </w:r>
    </w:p>
    <w:p>
      <w:pPr>
        <w:spacing w:after="100"/>
      </w:pPr>
      <w:r>
        <w:rPr>
          <w:b/>
          <w:bCs/>
        </w:rPr>
        <w:t xml:space="preserve">4. RestonIT's operating account ending in ______ and Reston's personal account ending in ______ both received CoinBridge withdrawals.</w:t>
      </w:r>
    </w:p>
    <w:p>
      <w:pPr>
        <w:pBdr>
          <w:bottom w:val="single" w:color="AAAAAA" w:sz="4"/>
        </w:pBdr>
        <w:spacing w:after="160"/>
      </w:pPr>
      <w:r>
        <w:t xml:space="preserve"> </w:t>
      </w:r>
    </w:p>
    <w:p>
      <w:pPr>
        <w:spacing w:after="100"/>
      </w:pPr>
      <w:r>
        <w:t xml:space="preserve"/>
      </w:r>
    </w:p>
    <w:p>
      <w:pPr>
        <w:spacing w:after="100"/>
      </w:pPr>
      <w:r>
        <w:rPr>
          <w:b/>
          <w:bCs/>
        </w:rPr>
        <w:t xml:space="preserve">5. The sale reference BH-0314 links the client-access matrix to the escrow transaction captured in ______ (name the Wednesday artifact).</w:t>
      </w:r>
    </w:p>
    <w:p>
      <w:pPr>
        <w:pBdr>
          <w:bottom w:val="single" w:color="AAAAAA" w:sz="4"/>
        </w:pBdr>
        <w:spacing w:after="160"/>
      </w:pPr>
      <w:r>
        <w:t xml:space="preserve"> </w:t>
      </w:r>
    </w:p>
    <w:p>
      <w:pPr>
        <w:spacing w:after="100"/>
      </w:pPr>
      <w:r>
        <w:t xml:space="preserve"/>
      </w:r>
    </w:p>
    <w:p>
      <w:pPr>
        <w:spacing w:after="100"/>
      </w:pPr>
      <w:r>
        <w:rPr>
          <w:b/>
          <w:bCs/>
        </w:rPr>
        <w:t xml:space="preserve">6. Quantify, in one or two sentences, the complete proceeds trail from sale to personal bank account.</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spacing w:after="100"/>
      </w:pPr>
      <w:r>
        <w:t xml:space="preserve"/>
      </w:r>
    </w:p>
    <w:p>
      <w:pPr>
        <w:pStyle w:val="Heading1"/>
        <w:pageBreakBefore/>
        <w:spacing w:after="140" w:before="300"/>
      </w:pPr>
      <w:r>
        <w:t xml:space="preserve">FoA — Forensic Accountant</w:t>
      </w:r>
    </w:p>
    <w:p>
      <w:pPr>
        <w:spacing w:after="100"/>
      </w:pPr>
      <w:r>
        <w:rPr>
          <w:i/>
          <w:iCs/>
        </w:rPr>
        <w:t xml:space="preserve">Close the personal-finance discrepancy question left open Wednesday.</w:t>
      </w:r>
    </w:p>
    <w:p>
      <w:pPr>
        <w:pStyle w:val="Heading2"/>
        <w:spacing w:after="100" w:before="200"/>
      </w:pPr>
      <w:r>
        <w:t xml:space="preserve">Assessment items</w:t>
      </w:r>
    </w:p>
    <w:p>
      <w:pPr>
        <w:spacing w:after="100"/>
      </w:pPr>
      <w:r>
        <w:rPr>
          <w:b/>
          <w:bCs/>
        </w:rPr>
        <w:t xml:space="preserve">1. What does today's personal financial return finally confirm, that Wednesday's business return could not?</w:t>
      </w:r>
    </w:p>
    <w:p>
      <w:pPr>
        <w:spacing w:after="40"/>
        <w:ind w:left="360"/>
      </w:pPr>
      <w:r>
        <w:rPr>
          <w:b w:val="false"/>
          <w:bCs w:val="false"/>
          <w:color w:val="000000"/>
        </w:rPr>
        <w:t xml:space="preserve">A. That RestonIT is profitable</w:t>
      </w:r>
    </w:p>
    <w:p>
      <w:pPr>
        <w:spacing w:after="40"/>
        <w:ind w:left="360"/>
      </w:pPr>
      <w:r>
        <w:rPr>
          <w:b w:val="false"/>
          <w:bCs w:val="false"/>
          <w:color w:val="000000"/>
        </w:rPr>
        <w:t xml:space="preserve">B. That Reston's personal spending, not just business activity, exceeds legitimate income, with CoinBridge inflows</w:t>
      </w:r>
    </w:p>
    <w:p>
      <w:pPr>
        <w:spacing w:after="40"/>
        <w:ind w:left="360"/>
      </w:pPr>
      <w:r>
        <w:rPr>
          <w:b w:val="false"/>
          <w:bCs w:val="false"/>
          <w:color w:val="000000"/>
        </w:rPr>
        <w:t xml:space="preserve">C. That Reston has no personal accounts</w:t>
      </w:r>
    </w:p>
    <w:p>
      <w:pPr>
        <w:spacing w:after="40"/>
        <w:ind w:left="360"/>
      </w:pPr>
      <w:r>
        <w:rPr>
          <w:b w:val="false"/>
          <w:bCs w:val="false"/>
          <w:color w:val="000000"/>
        </w:rPr>
        <w:t xml:space="preserve">D. That the business account is unrelated to the personal one</w:t>
      </w:r>
    </w:p>
    <w:p>
      <w:pPr>
        <w:spacing w:after="100"/>
      </w:pPr>
      <w:r>
        <w:t xml:space="preserve"/>
      </w:r>
    </w:p>
    <w:p>
      <w:pPr>
        <w:spacing w:after="100"/>
      </w:pPr>
      <w:r>
        <w:rPr>
          <w:b/>
          <w:bCs/>
        </w:rPr>
        <w:t xml:space="preserve">2. What connects the personal financial records to the exchange-return evidence?</w:t>
      </w:r>
    </w:p>
    <w:p>
      <w:pPr>
        <w:spacing w:after="40"/>
        <w:ind w:left="360"/>
      </w:pPr>
      <w:r>
        <w:rPr>
          <w:b w:val="false"/>
          <w:bCs w:val="false"/>
          <w:color w:val="000000"/>
        </w:rPr>
        <w:t xml:space="preserve">A. Nothing directly</w:t>
      </w:r>
    </w:p>
    <w:p>
      <w:pPr>
        <w:spacing w:after="40"/>
        <w:ind w:left="360"/>
      </w:pPr>
      <w:r>
        <w:rPr>
          <w:b w:val="false"/>
          <w:bCs w:val="false"/>
          <w:color w:val="000000"/>
        </w:rPr>
        <w:t xml:space="preserve">B. Both show CoinBridge-linked inflows/withdrawals to the same person</w:t>
      </w:r>
    </w:p>
    <w:p>
      <w:pPr>
        <w:spacing w:after="40"/>
        <w:ind w:left="360"/>
      </w:pPr>
      <w:r>
        <w:rPr>
          <w:b w:val="false"/>
          <w:bCs w:val="false"/>
          <w:color w:val="000000"/>
        </w:rPr>
        <w:t xml:space="preserve">C. They contradict each other</w:t>
      </w:r>
    </w:p>
    <w:p>
      <w:pPr>
        <w:spacing w:after="40"/>
        <w:ind w:left="360"/>
      </w:pPr>
      <w:r>
        <w:rPr>
          <w:b w:val="false"/>
          <w:bCs w:val="false"/>
          <w:color w:val="000000"/>
        </w:rPr>
        <w:t xml:space="preserve">D. They cover different individuals</w:t>
      </w:r>
    </w:p>
    <w:p>
      <w:pPr>
        <w:spacing w:after="100"/>
      </w:pPr>
      <w:r>
        <w:t xml:space="preserve"/>
      </w:r>
    </w:p>
    <w:p>
      <w:pPr>
        <w:spacing w:after="100"/>
      </w:pPr>
      <w:r>
        <w:rPr>
          <w:b/>
          <w:bCs/>
        </w:rPr>
        <w:t xml:space="preserve">3. What is the correct way to characterize this financial evidence in your memo?</w:t>
      </w:r>
    </w:p>
    <w:p>
      <w:pPr>
        <w:spacing w:after="40"/>
        <w:ind w:left="360"/>
      </w:pPr>
      <w:r>
        <w:rPr>
          <w:b w:val="false"/>
          <w:bCs w:val="false"/>
          <w:color w:val="000000"/>
        </w:rPr>
        <w:t xml:space="preserve">A. As independent proof of guilt on its own</w:t>
      </w:r>
    </w:p>
    <w:p>
      <w:pPr>
        <w:spacing w:after="40"/>
        <w:ind w:left="360"/>
      </w:pPr>
      <w:r>
        <w:rPr>
          <w:b w:val="false"/>
          <w:bCs w:val="false"/>
          <w:color w:val="000000"/>
        </w:rPr>
        <w:t xml:space="preserve">B. As a lifestyle/discrepancy indicator that corroborates, but doesn't independently prove, the broader case</w:t>
      </w:r>
    </w:p>
    <w:p>
      <w:pPr>
        <w:spacing w:after="40"/>
        <w:ind w:left="360"/>
      </w:pPr>
      <w:r>
        <w:rPr>
          <w:b w:val="false"/>
          <w:bCs w:val="false"/>
          <w:color w:val="000000"/>
        </w:rPr>
        <w:t xml:space="preserve">C. As irrelevant to attribution</w:t>
      </w:r>
    </w:p>
    <w:p>
      <w:pPr>
        <w:spacing w:after="40"/>
        <w:ind w:left="360"/>
      </w:pPr>
      <w:r>
        <w:rPr>
          <w:b w:val="false"/>
          <w:bCs w:val="false"/>
          <w:color w:val="000000"/>
        </w:rPr>
        <w:t xml:space="preserve">D. As proof of a separate, unrelated crime</w:t>
      </w:r>
    </w:p>
    <w:p>
      <w:pPr>
        <w:spacing w:after="100"/>
      </w:pPr>
      <w:r>
        <w:t xml:space="preserve"/>
      </w:r>
    </w:p>
    <w:p>
      <w:pPr>
        <w:spacing w:after="100"/>
      </w:pPr>
      <w:r>
        <w:rPr>
          <w:b/>
          <w:bCs/>
        </w:rPr>
        <w:t xml:space="preserve">4. Reston's personal account shows inflows from ______, the same exchange named in the KYC return.</w:t>
      </w:r>
    </w:p>
    <w:p>
      <w:pPr>
        <w:pBdr>
          <w:bottom w:val="single" w:color="AAAAAA" w:sz="4"/>
        </w:pBdr>
        <w:spacing w:after="160"/>
      </w:pPr>
      <w:r>
        <w:t xml:space="preserve"> </w:t>
      </w:r>
    </w:p>
    <w:p>
      <w:pPr>
        <w:spacing w:after="100"/>
      </w:pPr>
      <w:r>
        <w:t xml:space="preserve"/>
      </w:r>
    </w:p>
    <w:p>
      <w:pPr>
        <w:spacing w:after="100"/>
      </w:pPr>
      <w:r>
        <w:rPr>
          <w:b/>
          <w:bCs/>
        </w:rPr>
        <w:t xml:space="preserve">5. Today's return closes the proceeds trail that Wednesday's business banking return could only partially show, because Wednesday's return covered only the ______ account.</w:t>
      </w:r>
    </w:p>
    <w:p>
      <w:pPr>
        <w:pBdr>
          <w:bottom w:val="single" w:color="AAAAAA" w:sz="4"/>
        </w:pBdr>
        <w:spacing w:after="160"/>
      </w:pPr>
      <w:r>
        <w:t xml:space="preserve"> </w:t>
      </w:r>
    </w:p>
    <w:p>
      <w:pPr>
        <w:spacing w:after="100"/>
      </w:pPr>
      <w:r>
        <w:t xml:space="preserve"/>
      </w:r>
    </w:p>
    <w:p>
      <w:pPr>
        <w:spacing w:after="100"/>
      </w:pPr>
      <w:r>
        <w:rPr>
          <w:b/>
          <w:bCs/>
        </w:rPr>
        <w:t xml:space="preserve">6. Summarize the complete financial picture of this case in three sentences or fewer, from legitimate MSP income through to personal proceeds.</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spacing w:after="100"/>
      </w:pPr>
      <w:r>
        <w:t xml:space="preserve"/>
      </w:r>
    </w:p>
    <w:p>
      <w:pPr>
        <w:pStyle w:val="Heading1"/>
        <w:pageBreakBefore/>
        <w:spacing w:after="140" w:before="300"/>
      </w:pPr>
      <w:r>
        <w:t xml:space="preserve">SOS — Staff Operations/Tactical Specialist</w:t>
      </w:r>
    </w:p>
    <w:p>
      <w:pPr>
        <w:spacing w:after="100"/>
      </w:pPr>
      <w:r>
        <w:rPr>
          <w:i/>
          <w:iCs/>
        </w:rPr>
        <w:t xml:space="preserve">Once a live, unresolved exposure is identified in today's extraction, coordinate the victim-notification action — this cannot wait for the attribution memo to finish.</w:t>
      </w:r>
    </w:p>
    <w:p>
      <w:pPr>
        <w:pStyle w:val="Heading2"/>
        <w:spacing w:after="100" w:before="200"/>
      </w:pPr>
      <w:r>
        <w:t xml:space="preserve">Assessment items</w:t>
      </w:r>
    </w:p>
    <w:p>
      <w:pPr>
        <w:spacing w:after="100"/>
      </w:pPr>
      <w:r>
        <w:rPr>
          <w:b/>
          <w:bCs/>
        </w:rPr>
        <w:t xml:space="preserve">1. What should happen the moment a previously-unknown, still-active client access is confirmed during today's review?</w:t>
      </w:r>
    </w:p>
    <w:p>
      <w:pPr>
        <w:spacing w:after="40"/>
        <w:ind w:left="360"/>
      </w:pPr>
      <w:r>
        <w:rPr>
          <w:b w:val="false"/>
          <w:bCs w:val="false"/>
          <w:color w:val="000000"/>
        </w:rPr>
        <w:t xml:space="preserve">A. Note it for Friday's moot court</w:t>
      </w:r>
    </w:p>
    <w:p>
      <w:pPr>
        <w:spacing w:after="40"/>
        <w:ind w:left="360"/>
      </w:pPr>
      <w:r>
        <w:rPr>
          <w:b w:val="false"/>
          <w:bCs w:val="false"/>
          <w:color w:val="000000"/>
        </w:rPr>
        <w:t xml:space="preserve">B. Initiate a same-day notification action immediately</w:t>
      </w:r>
    </w:p>
    <w:p>
      <w:pPr>
        <w:spacing w:after="40"/>
        <w:ind w:left="360"/>
      </w:pPr>
      <w:r>
        <w:rPr>
          <w:b w:val="false"/>
          <w:bCs w:val="false"/>
          <w:color w:val="000000"/>
        </w:rPr>
        <w:t xml:space="preserve">C. Wait until the attribution memo is complete</w:t>
      </w:r>
    </w:p>
    <w:p>
      <w:pPr>
        <w:spacing w:after="40"/>
        <w:ind w:left="360"/>
      </w:pPr>
      <w:r>
        <w:rPr>
          <w:b w:val="false"/>
          <w:bCs w:val="false"/>
          <w:color w:val="000000"/>
        </w:rPr>
        <w:t xml:space="preserve">D. Refer it to the victim's insurance company only</w:t>
      </w:r>
    </w:p>
    <w:p>
      <w:pPr>
        <w:spacing w:after="100"/>
      </w:pPr>
      <w:r>
        <w:t xml:space="preserve"/>
      </w:r>
    </w:p>
    <w:p>
      <w:pPr>
        <w:spacing w:after="100"/>
      </w:pPr>
      <w:r>
        <w:rPr>
          <w:b/>
          <w:bCs/>
        </w:rPr>
        <w:t xml:space="preserve">2. What is SOS's role once such a discovery is confirmed?</w:t>
      </w:r>
    </w:p>
    <w:p>
      <w:pPr>
        <w:spacing w:after="40"/>
        <w:ind w:left="360"/>
      </w:pPr>
      <w:r>
        <w:rPr>
          <w:b w:val="false"/>
          <w:bCs w:val="false"/>
          <w:color w:val="000000"/>
        </w:rPr>
        <w:t xml:space="preserve">A. Perform the technical extraction personally</w:t>
      </w:r>
    </w:p>
    <w:p>
      <w:pPr>
        <w:spacing w:after="40"/>
        <w:ind w:left="360"/>
      </w:pPr>
      <w:r>
        <w:rPr>
          <w:b w:val="false"/>
          <w:bCs w:val="false"/>
          <w:color w:val="000000"/>
        </w:rPr>
        <w:t xml:space="preserve">B. Coordinate the notification action operationally — who is contacted, how, and by when</w:t>
      </w:r>
    </w:p>
    <w:p>
      <w:pPr>
        <w:spacing w:after="40"/>
        <w:ind w:left="360"/>
      </w:pPr>
      <w:r>
        <w:rPr>
          <w:b w:val="false"/>
          <w:bCs w:val="false"/>
          <w:color w:val="000000"/>
        </w:rPr>
        <w:t xml:space="preserve">C. Draft the charging outline</w:t>
      </w:r>
    </w:p>
    <w:p>
      <w:pPr>
        <w:spacing w:after="40"/>
        <w:ind w:left="360"/>
      </w:pPr>
      <w:r>
        <w:rPr>
          <w:b w:val="false"/>
          <w:bCs w:val="false"/>
          <w:color w:val="000000"/>
        </w:rPr>
        <w:t xml:space="preserve">D. Interview the subject</w:t>
      </w:r>
    </w:p>
    <w:p>
      <w:pPr>
        <w:spacing w:after="100"/>
      </w:pPr>
      <w:r>
        <w:t xml:space="preserve"/>
      </w:r>
    </w:p>
    <w:p>
      <w:pPr>
        <w:spacing w:after="100"/>
      </w:pPr>
      <w:r>
        <w:rPr>
          <w:b/>
          <w:bCs/>
        </w:rPr>
        <w:t xml:space="preserve">3. Why can't this action be deferred to prioritize the attribution memo?</w:t>
      </w:r>
    </w:p>
    <w:p>
      <w:pPr>
        <w:spacing w:after="40"/>
        <w:ind w:left="360"/>
      </w:pPr>
      <w:r>
        <w:rPr>
          <w:b w:val="false"/>
          <w:bCs w:val="false"/>
          <w:color w:val="000000"/>
        </w:rPr>
        <w:t xml:space="preserve">A. It can be deferred — attribution is always the priority</w:t>
      </w:r>
    </w:p>
    <w:p>
      <w:pPr>
        <w:spacing w:after="40"/>
        <w:ind w:left="360"/>
      </w:pPr>
      <w:r>
        <w:rPr>
          <w:b w:val="false"/>
          <w:bCs w:val="false"/>
          <w:color w:val="000000"/>
        </w:rPr>
        <w:t xml:space="preserve">B. An active, exploitable exposure is an ongoing-harm situation that takes precedence over case-building tasks</w:t>
      </w:r>
    </w:p>
    <w:p>
      <w:pPr>
        <w:spacing w:after="40"/>
        <w:ind w:left="360"/>
      </w:pPr>
      <w:r>
        <w:rPr>
          <w:b w:val="false"/>
          <w:bCs w:val="false"/>
          <w:color w:val="000000"/>
        </w:rPr>
        <w:t xml:space="preserve">C. Policy requires all notifications to wait for Friday</w:t>
      </w:r>
    </w:p>
    <w:p>
      <w:pPr>
        <w:spacing w:after="40"/>
        <w:ind w:left="360"/>
      </w:pPr>
      <w:r>
        <w:rPr>
          <w:b w:val="false"/>
          <w:bCs w:val="false"/>
          <w:color w:val="000000"/>
        </w:rPr>
        <w:t xml:space="preserve">D. There's no urgency once a subject is in custody</w:t>
      </w:r>
    </w:p>
    <w:p>
      <w:pPr>
        <w:spacing w:after="100"/>
      </w:pPr>
      <w:r>
        <w:t xml:space="preserve"/>
      </w:r>
    </w:p>
    <w:p>
      <w:pPr>
        <w:spacing w:after="100"/>
      </w:pPr>
      <w:r>
        <w:rPr>
          <w:b/>
          <w:bCs/>
        </w:rPr>
        <w:t xml:space="preserve">4. A live, unresolved exposure found today should be treated with the same urgency as a ______.</w:t>
      </w:r>
    </w:p>
    <w:p>
      <w:pPr>
        <w:pBdr>
          <w:bottom w:val="single" w:color="AAAAAA" w:sz="4"/>
        </w:pBdr>
        <w:spacing w:after="160"/>
      </w:pPr>
      <w:r>
        <w:t xml:space="preserve"> </w:t>
      </w:r>
    </w:p>
    <w:p>
      <w:pPr>
        <w:spacing w:after="100"/>
      </w:pPr>
      <w:r>
        <w:t xml:space="preserve"/>
      </w:r>
    </w:p>
    <w:p>
      <w:pPr>
        <w:spacing w:after="100"/>
      </w:pPr>
      <w:r>
        <w:rPr>
          <w:b/>
          <w:bCs/>
        </w:rPr>
        <w:t xml:space="preserve">5. Your notification memo should be produced ______ upon confirming the exposure, not at end of day.</w:t>
      </w:r>
    </w:p>
    <w:p>
      <w:pPr>
        <w:pBdr>
          <w:bottom w:val="single" w:color="AAAAAA" w:sz="4"/>
        </w:pBdr>
        <w:spacing w:after="160"/>
      </w:pPr>
      <w:r>
        <w:t xml:space="preserve"> </w:t>
      </w:r>
    </w:p>
    <w:p>
      <w:pPr>
        <w:spacing w:after="100"/>
      </w:pPr>
      <w:r>
        <w:t xml:space="preserve"/>
      </w:r>
    </w:p>
    <w:p>
      <w:pPr>
        <w:spacing w:after="100"/>
      </w:pPr>
      <w:r>
        <w:rPr>
          <w:b/>
          <w:bCs/>
        </w:rPr>
        <w:t xml:space="preserve">6. Draft the opening two sentences of your notification action memo once such an exposure is confirmed today.</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spacing w:after="100"/>
      </w:pPr>
      <w:r>
        <w:t xml:space="preserve"/>
      </w:r>
    </w:p>
    <w:p>
      <w:pPr>
        <w:pStyle w:val="Heading1"/>
        <w:pageBreakBefore/>
        <w:spacing w:after="140" w:before="300"/>
      </w:pPr>
      <w:r>
        <w:t xml:space="preserve">TFO — Task Force Officer</w:t>
      </w:r>
    </w:p>
    <w:p>
      <w:pPr>
        <w:spacing w:after="100"/>
      </w:pPr>
      <w:r>
        <w:rPr>
          <w:i/>
          <w:iCs/>
        </w:rPr>
        <w:t xml:space="preserve">Reconcile the seized-evidence inventory against Wednesday's on-scene custody documentation before anything is used in analysis.</w:t>
      </w:r>
    </w:p>
    <w:p>
      <w:pPr>
        <w:pStyle w:val="Heading2"/>
        <w:spacing w:after="100" w:before="200"/>
      </w:pPr>
      <w:r>
        <w:t xml:space="preserve">Assessment items</w:t>
      </w:r>
    </w:p>
    <w:p>
      <w:pPr>
        <w:spacing w:after="100"/>
      </w:pPr>
      <w:r>
        <w:rPr>
          <w:b/>
          <w:bCs/>
        </w:rPr>
        <w:t xml:space="preserve">1. What must happen before any seized item is used in today's analysis?</w:t>
      </w:r>
    </w:p>
    <w:p>
      <w:pPr>
        <w:spacing w:after="40"/>
        <w:ind w:left="360"/>
      </w:pPr>
      <w:r>
        <w:rPr>
          <w:b w:val="false"/>
          <w:bCs w:val="false"/>
          <w:color w:val="000000"/>
        </w:rPr>
        <w:t xml:space="preserve">A. Nothing — seizure alone is sufficient</w:t>
      </w:r>
    </w:p>
    <w:p>
      <w:pPr>
        <w:spacing w:after="40"/>
        <w:ind w:left="360"/>
      </w:pPr>
      <w:r>
        <w:rPr>
          <w:b w:val="false"/>
          <w:bCs w:val="false"/>
          <w:color w:val="000000"/>
        </w:rPr>
        <w:t xml:space="preserve">B. It must be cross-checked against on-scene custody documentation for any gap</w:t>
      </w:r>
    </w:p>
    <w:p>
      <w:pPr>
        <w:spacing w:after="40"/>
        <w:ind w:left="360"/>
      </w:pPr>
      <w:r>
        <w:rPr>
          <w:b w:val="false"/>
          <w:bCs w:val="false"/>
          <w:color w:val="000000"/>
        </w:rPr>
        <w:t xml:space="preserve">C. It must be re-photographed</w:t>
      </w:r>
    </w:p>
    <w:p>
      <w:pPr>
        <w:spacing w:after="40"/>
        <w:ind w:left="360"/>
      </w:pPr>
      <w:r>
        <w:rPr>
          <w:b w:val="false"/>
          <w:bCs w:val="false"/>
          <w:color w:val="000000"/>
        </w:rPr>
        <w:t xml:space="preserve">D. It must be re-seized</w:t>
      </w:r>
    </w:p>
    <w:p>
      <w:pPr>
        <w:spacing w:after="100"/>
      </w:pPr>
      <w:r>
        <w:t xml:space="preserve"/>
      </w:r>
    </w:p>
    <w:p>
      <w:pPr>
        <w:spacing w:after="100"/>
      </w:pPr>
      <w:r>
        <w:rPr>
          <w:b/>
          <w:bCs/>
        </w:rPr>
        <w:t xml:space="preserve">2. What two scenes does the seizure inventory cover?</w:t>
      </w:r>
    </w:p>
    <w:p>
      <w:pPr>
        <w:spacing w:after="40"/>
        <w:ind w:left="360"/>
      </w:pPr>
      <w:r>
        <w:rPr>
          <w:b w:val="false"/>
          <w:bCs w:val="false"/>
          <w:color w:val="000000"/>
        </w:rPr>
        <w:t xml:space="preserve">A. Two client sites</w:t>
      </w:r>
    </w:p>
    <w:p>
      <w:pPr>
        <w:spacing w:after="40"/>
        <w:ind w:left="360"/>
      </w:pPr>
      <w:r>
        <w:rPr>
          <w:b w:val="false"/>
          <w:bCs w:val="false"/>
          <w:color w:val="000000"/>
        </w:rPr>
        <w:t xml:space="preserve">B. RestonIT's office and Alex Reston's residence</w:t>
      </w:r>
    </w:p>
    <w:p>
      <w:pPr>
        <w:spacing w:after="40"/>
        <w:ind w:left="360"/>
      </w:pPr>
      <w:r>
        <w:rPr>
          <w:b w:val="false"/>
          <w:bCs w:val="false"/>
          <w:color w:val="000000"/>
        </w:rPr>
        <w:t xml:space="preserve">C. Only the residence</w:t>
      </w:r>
    </w:p>
    <w:p>
      <w:pPr>
        <w:spacing w:after="40"/>
        <w:ind w:left="360"/>
      </w:pPr>
      <w:r>
        <w:rPr>
          <w:b w:val="false"/>
          <w:bCs w:val="false"/>
          <w:color w:val="000000"/>
        </w:rPr>
        <w:t xml:space="preserve">D. Only the office</w:t>
      </w:r>
    </w:p>
    <w:p>
      <w:pPr>
        <w:spacing w:after="100"/>
      </w:pPr>
      <w:r>
        <w:t xml:space="preserve"/>
      </w:r>
    </w:p>
    <w:p>
      <w:pPr>
        <w:spacing w:after="100"/>
      </w:pPr>
      <w:r>
        <w:rPr>
          <w:b/>
          <w:bCs/>
        </w:rPr>
        <w:t xml:space="preserve">3. If you find a custody gap on an item, what should you do?</w:t>
      </w:r>
    </w:p>
    <w:p>
      <w:pPr>
        <w:spacing w:after="40"/>
        <w:ind w:left="360"/>
      </w:pPr>
      <w:r>
        <w:rPr>
          <w:b w:val="false"/>
          <w:bCs w:val="false"/>
          <w:color w:val="000000"/>
        </w:rPr>
        <w:t xml:space="preserve">A. Ignore it if the item seems important</w:t>
      </w:r>
    </w:p>
    <w:p>
      <w:pPr>
        <w:spacing w:after="40"/>
        <w:ind w:left="360"/>
      </w:pPr>
      <w:r>
        <w:rPr>
          <w:b w:val="false"/>
          <w:bCs w:val="false"/>
          <w:color w:val="000000"/>
        </w:rPr>
        <w:t xml:space="preserve">B. Flag it before it's used in any analysis</w:t>
      </w:r>
    </w:p>
    <w:p>
      <w:pPr>
        <w:spacing w:after="40"/>
        <w:ind w:left="360"/>
      </w:pPr>
      <w:r>
        <w:rPr>
          <w:b w:val="false"/>
          <w:bCs w:val="false"/>
          <w:color w:val="000000"/>
        </w:rPr>
        <w:t xml:space="preserve">C. Quietly correct the paperwork</w:t>
      </w:r>
    </w:p>
    <w:p>
      <w:pPr>
        <w:spacing w:after="40"/>
        <w:ind w:left="360"/>
      </w:pPr>
      <w:r>
        <w:rPr>
          <w:b w:val="false"/>
          <w:bCs w:val="false"/>
          <w:color w:val="000000"/>
        </w:rPr>
        <w:t xml:space="preserve">D. Discard the item entirely without documentation</w:t>
      </w:r>
    </w:p>
    <w:p>
      <w:pPr>
        <w:spacing w:after="100"/>
      </w:pPr>
      <w:r>
        <w:t xml:space="preserve"/>
      </w:r>
    </w:p>
    <w:p>
      <w:pPr>
        <w:spacing w:after="100"/>
      </w:pPr>
      <w:r>
        <w:rPr>
          <w:b/>
          <w:bCs/>
        </w:rPr>
        <w:t xml:space="preserve">4. The evidence photo log documents physical items ______ in place before collection, each tied to an evidence number.</w:t>
      </w:r>
    </w:p>
    <w:p>
      <w:pPr>
        <w:pBdr>
          <w:bottom w:val="single" w:color="AAAAAA" w:sz="4"/>
        </w:pBdr>
        <w:spacing w:after="160"/>
      </w:pPr>
      <w:r>
        <w:t xml:space="preserve"> </w:t>
      </w:r>
    </w:p>
    <w:p>
      <w:pPr>
        <w:spacing w:after="100"/>
      </w:pPr>
      <w:r>
        <w:t xml:space="preserve"/>
      </w:r>
    </w:p>
    <w:p>
      <w:pPr>
        <w:spacing w:after="100"/>
      </w:pPr>
      <w:r>
        <w:rPr>
          <w:b/>
          <w:bCs/>
        </w:rPr>
        <w:t xml:space="preserve">5. Sam Smith's service-ticket log attributes the provisioning visits to technician code “______,” distinct from Sam's own, unrelated visits.</w:t>
      </w:r>
    </w:p>
    <w:p>
      <w:pPr>
        <w:pBdr>
          <w:bottom w:val="single" w:color="AAAAAA" w:sz="4"/>
        </w:pBdr>
        <w:spacing w:after="160"/>
      </w:pPr>
      <w:r>
        <w:t xml:space="preserve"> </w:t>
      </w:r>
    </w:p>
    <w:p>
      <w:pPr>
        <w:spacing w:after="100"/>
      </w:pPr>
      <w:r>
        <w:t xml:space="preserve"/>
      </w:r>
    </w:p>
    <w:p>
      <w:pPr>
        <w:spacing w:after="100"/>
      </w:pPr>
      <w:r>
        <w:rPr>
          <w:b/>
          <w:bCs/>
        </w:rPr>
        <w:t xml:space="preserve">6. Describe your custody-reconciliation process for today and what you would do if you found a gap between the seizure inventory and the on-scene forms.</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spacing w:after="100"/>
      </w:pPr>
      <w:r>
        <w:t xml:space="preserve"/>
      </w:r>
    </w:p>
    <w:p>
      <w:pPr>
        <w:pStyle w:val="Heading1"/>
        <w:pageBreakBefore/>
        <w:spacing w:after="140" w:before="300"/>
      </w:pPr>
      <w:r>
        <w:t xml:space="preserve">CS — Computer Scientist</w:t>
      </w:r>
    </w:p>
    <w:p>
      <w:pPr>
        <w:spacing w:after="100"/>
      </w:pPr>
      <w:r>
        <w:rPr>
          <w:i/>
          <w:iCs/>
        </w:rPr>
        <w:t xml:space="preserve">Complete the technical extraction review of both seized devices, and build the full client/system inventory that surfaces any previously-unaccounted-for exposure.</w:t>
      </w:r>
    </w:p>
    <w:p>
      <w:pPr>
        <w:pStyle w:val="Heading2"/>
        <w:spacing w:after="100" w:before="200"/>
      </w:pPr>
      <w:r>
        <w:t xml:space="preserve">Assessment items</w:t>
      </w:r>
    </w:p>
    <w:p>
      <w:pPr>
        <w:spacing w:after="100"/>
      </w:pPr>
      <w:r>
        <w:rPr>
          <w:b/>
          <w:bCs/>
        </w:rPr>
        <w:t xml:space="preserve">1. What is recovered from Reston's residence laptop, per the examiner summary?</w:t>
      </w:r>
    </w:p>
    <w:p>
      <w:pPr>
        <w:spacing w:after="40"/>
        <w:ind w:left="360"/>
      </w:pPr>
      <w:r>
        <w:rPr>
          <w:b w:val="false"/>
          <w:bCs w:val="false"/>
          <w:color w:val="000000"/>
        </w:rPr>
        <w:t xml:space="preserve">A. Nothing of evidentiary value</w:t>
      </w:r>
    </w:p>
    <w:p>
      <w:pPr>
        <w:spacing w:after="40"/>
        <w:ind w:left="360"/>
      </w:pPr>
      <w:r>
        <w:rPr>
          <w:b w:val="false"/>
          <w:bCs w:val="false"/>
          <w:color w:val="000000"/>
        </w:rPr>
        <w:t xml:space="preserve">B. A PGP keyring, Tor browser artifacts, a cryptocurrency wallet, and Black Harbor session remnants</w:t>
      </w:r>
    </w:p>
    <w:p>
      <w:pPr>
        <w:spacing w:after="40"/>
        <w:ind w:left="360"/>
      </w:pPr>
      <w:r>
        <w:rPr>
          <w:b w:val="false"/>
          <w:bCs w:val="false"/>
          <w:color w:val="000000"/>
        </w:rPr>
        <w:t xml:space="preserve">C. Only browser history</w:t>
      </w:r>
    </w:p>
    <w:p>
      <w:pPr>
        <w:spacing w:after="40"/>
        <w:ind w:left="360"/>
      </w:pPr>
      <w:r>
        <w:rPr>
          <w:b w:val="false"/>
          <w:bCs w:val="false"/>
          <w:color w:val="000000"/>
        </w:rPr>
        <w:t xml:space="preserve">D. Only financial records</w:t>
      </w:r>
    </w:p>
    <w:p>
      <w:pPr>
        <w:spacing w:after="100"/>
      </w:pPr>
      <w:r>
        <w:t xml:space="preserve"/>
      </w:r>
    </w:p>
    <w:p>
      <w:pPr>
        <w:spacing w:after="100"/>
      </w:pPr>
      <w:r>
        <w:rPr>
          <w:b/>
          <w:bCs/>
        </w:rPr>
        <w:t xml:space="preserve">2. What does the client_access_matrix.csv track for each client?</w:t>
      </w:r>
    </w:p>
    <w:p>
      <w:pPr>
        <w:spacing w:after="40"/>
        <w:ind w:left="360"/>
      </w:pPr>
      <w:r>
        <w:rPr>
          <w:b w:val="false"/>
          <w:bCs w:val="false"/>
          <w:color w:val="000000"/>
        </w:rPr>
        <w:t xml:space="preserve">A. Only billing information</w:t>
      </w:r>
    </w:p>
    <w:p>
      <w:pPr>
        <w:spacing w:after="40"/>
        <w:ind w:left="360"/>
      </w:pPr>
      <w:r>
        <w:rPr>
          <w:b w:val="false"/>
          <w:bCs w:val="false"/>
          <w:color w:val="000000"/>
        </w:rPr>
        <w:t xml:space="preserve">B. Provisioned date, technician, permissions, and status (dormant/listed/sold)</w:t>
      </w:r>
    </w:p>
    <w:p>
      <w:pPr>
        <w:spacing w:after="40"/>
        <w:ind w:left="360"/>
      </w:pPr>
      <w:r>
        <w:rPr>
          <w:b w:val="false"/>
          <w:bCs w:val="false"/>
          <w:color w:val="000000"/>
        </w:rPr>
        <w:t xml:space="preserve">C. Only phone numbers</w:t>
      </w:r>
    </w:p>
    <w:p>
      <w:pPr>
        <w:spacing w:after="40"/>
        <w:ind w:left="360"/>
      </w:pPr>
      <w:r>
        <w:rPr>
          <w:b w:val="false"/>
          <w:bCs w:val="false"/>
          <w:color w:val="000000"/>
        </w:rPr>
        <w:t xml:space="preserve">D. Employee schedules</w:t>
      </w:r>
    </w:p>
    <w:p>
      <w:pPr>
        <w:spacing w:after="100"/>
      </w:pPr>
      <w:r>
        <w:t xml:space="preserve"/>
      </w:r>
    </w:p>
    <w:p>
      <w:pPr>
        <w:spacing w:after="100"/>
      </w:pPr>
      <w:r>
        <w:rPr>
          <w:b/>
          <w:bCs/>
        </w:rPr>
        <w:t xml:space="preserve">3. What should you do with every client or system name you find anywhere in the seized data?</w:t>
      </w:r>
    </w:p>
    <w:p>
      <w:pPr>
        <w:spacing w:after="40"/>
        <w:ind w:left="360"/>
      </w:pPr>
      <w:r>
        <w:rPr>
          <w:b w:val="false"/>
          <w:bCs w:val="false"/>
          <w:color w:val="000000"/>
        </w:rPr>
        <w:t xml:space="preserve">A. Ignore anything not already named in Packets 1–3</w:t>
      </w:r>
    </w:p>
    <w:p>
      <w:pPr>
        <w:spacing w:after="40"/>
        <w:ind w:left="360"/>
      </w:pPr>
      <w:r>
        <w:rPr>
          <w:b w:val="false"/>
          <w:bCs w:val="false"/>
          <w:color w:val="000000"/>
        </w:rPr>
        <w:t xml:space="preserve">B. Cross-check it against every client/system named in Packets 1–3 and flag anything new</w:t>
      </w:r>
    </w:p>
    <w:p>
      <w:pPr>
        <w:spacing w:after="40"/>
        <w:ind w:left="360"/>
      </w:pPr>
      <w:r>
        <w:rPr>
          <w:b w:val="false"/>
          <w:bCs w:val="false"/>
          <w:color w:val="000000"/>
        </w:rPr>
        <w:t xml:space="preserve">C. Only check the four known victims</w:t>
      </w:r>
    </w:p>
    <w:p>
      <w:pPr>
        <w:spacing w:after="40"/>
        <w:ind w:left="360"/>
      </w:pPr>
      <w:r>
        <w:rPr>
          <w:b w:val="false"/>
          <w:bCs w:val="false"/>
          <w:color w:val="000000"/>
        </w:rPr>
        <w:t xml:space="preserve">D. Report only if it's a large company</w:t>
      </w:r>
    </w:p>
    <w:p>
      <w:pPr>
        <w:spacing w:after="100"/>
      </w:pPr>
      <w:r>
        <w:t xml:space="preserve"/>
      </w:r>
    </w:p>
    <w:p>
      <w:pPr>
        <w:spacing w:after="100"/>
      </w:pPr>
      <w:r>
        <w:rPr>
          <w:b/>
          <w:bCs/>
        </w:rPr>
        <w:t xml:space="preserve">4. The office-machine extraction recovers a full client folder index, listing roughly ______ total clients.</w:t>
      </w:r>
    </w:p>
    <w:p>
      <w:pPr>
        <w:pBdr>
          <w:bottom w:val="single" w:color="AAAAAA" w:sz="4"/>
        </w:pBdr>
        <w:spacing w:after="160"/>
      </w:pPr>
      <w:r>
        <w:t xml:space="preserve"> </w:t>
      </w:r>
    </w:p>
    <w:p>
      <w:pPr>
        <w:spacing w:after="100"/>
      </w:pPr>
      <w:r>
        <w:t xml:space="preserve"/>
      </w:r>
    </w:p>
    <w:p>
      <w:pPr>
        <w:spacing w:after="100"/>
      </w:pPr>
      <w:r>
        <w:rPr>
          <w:b/>
          <w:bCs/>
        </w:rPr>
        <w:t xml:space="preserve">5. Any client folder appearing in today's extraction that never appeared in Packets 1 through 3 should be treated as a possible live, unresolved ______.</w:t>
      </w:r>
    </w:p>
    <w:p>
      <w:pPr>
        <w:pBdr>
          <w:bottom w:val="single" w:color="AAAAAA" w:sz="4"/>
        </w:pBdr>
        <w:spacing w:after="160"/>
      </w:pPr>
      <w:r>
        <w:t xml:space="preserve"> </w:t>
      </w:r>
    </w:p>
    <w:p>
      <w:pPr>
        <w:spacing w:after="100"/>
      </w:pPr>
      <w:r>
        <w:t xml:space="preserve"/>
      </w:r>
    </w:p>
    <w:p>
      <w:pPr>
        <w:spacing w:after="100"/>
      </w:pPr>
      <w:r>
        <w:rPr>
          <w:b/>
          <w:bCs/>
        </w:rPr>
        <w:t xml:space="preserve">6. You've now built a complete client inventory from the seized data. Is there any client here that never appeared anywhere in Packets 1–3? If so, name it, describe what its folder contains, and state what you'd do next.</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pBdr>
          <w:bottom w:val="single" w:color="AAAAAA" w:sz="4"/>
        </w:pBdr>
        <w:spacing w:after="160"/>
      </w:pPr>
      <w:r>
        <w:t xml:space="preserve"> </w:t>
      </w:r>
    </w:p>
    <w:p>
      <w:pPr>
        <w:spacing w:after="100"/>
      </w:pPr>
      <w:r>
        <w:t xml:space="preserve"/>
      </w:r>
    </w:p>
    <w:p>
      <w:pPr>
        <w:pStyle w:val="Heading1"/>
        <w:pageBreakBefore/>
        <w:spacing w:after="140" w:before="300"/>
      </w:pPr>
      <w:r>
        <w:t xml:space="preserve">Squad Synthesis Quiz — Day 4 (Thursday)</w:t>
      </w:r>
    </w:p>
    <w:p>
      <w:pPr>
        <w:spacing w:after="100"/>
      </w:pPr>
      <w:r>
        <w:rPr>
          <w:i/>
          <w:iCs/>
        </w:rPr>
        <w:t xml:space="preserve">Complete this together, as a squad, after every role has finished its individual assessment.</w:t>
      </w:r>
    </w:p>
    <w:p>
      <w:pPr>
        <w:spacing w:after="100"/>
      </w:pPr>
      <w:r>
        <w:rPr>
          <w:b/>
          <w:bCs/>
        </w:rPr>
        <w:t xml:space="preserve">1. What forensic item conclusively ties Reston's residence laptop to the BRKR_AL marketplace identity?</w:t>
      </w:r>
    </w:p>
    <w:p>
      <w:pPr>
        <w:spacing w:after="40"/>
        <w:ind w:left="360"/>
      </w:pPr>
      <w:r>
        <w:rPr>
          <w:b w:val="false"/>
          <w:bCs w:val="false"/>
          <w:color w:val="000000"/>
        </w:rPr>
        <w:t xml:space="preserve">A. Browser history alone</w:t>
      </w:r>
    </w:p>
    <w:p>
      <w:pPr>
        <w:spacing w:after="40"/>
        <w:ind w:left="360"/>
      </w:pPr>
      <w:r>
        <w:rPr>
          <w:b w:val="false"/>
          <w:bCs w:val="false"/>
          <w:color w:val="000000"/>
        </w:rPr>
        <w:t xml:space="preserve">B. A recovered PGP private key matching the BRKR_AL public key</w:t>
      </w:r>
    </w:p>
    <w:p>
      <w:pPr>
        <w:spacing w:after="40"/>
        <w:ind w:left="360"/>
      </w:pPr>
      <w:r>
        <w:rPr>
          <w:b w:val="false"/>
          <w:bCs w:val="false"/>
          <w:color w:val="000000"/>
        </w:rPr>
        <w:t xml:space="preserve">C. The personal financial records</w:t>
      </w:r>
    </w:p>
    <w:p>
      <w:pPr>
        <w:spacing w:after="40"/>
        <w:ind w:left="360"/>
      </w:pPr>
      <w:r>
        <w:rPr>
          <w:b w:val="false"/>
          <w:bCs w:val="false"/>
          <w:color w:val="000000"/>
        </w:rPr>
        <w:t xml:space="preserve">D. The evidence photo log</w:t>
      </w:r>
    </w:p>
    <w:p>
      <w:pPr>
        <w:spacing w:after="100"/>
      </w:pPr>
      <w:r>
        <w:t xml:space="preserve"/>
      </w:r>
    </w:p>
    <w:p>
      <w:pPr>
        <w:spacing w:after="100"/>
      </w:pPr>
      <w:r>
        <w:rPr>
          <w:b/>
          <w:bCs/>
        </w:rPr>
        <w:t xml:space="preserve">2. What does the client_access_matrix.csv reveal about SaturnV Mart?</w:t>
      </w:r>
    </w:p>
    <w:p>
      <w:pPr>
        <w:spacing w:after="40"/>
        <w:ind w:left="360"/>
      </w:pPr>
      <w:r>
        <w:rPr>
          <w:b w:val="false"/>
          <w:bCs w:val="false"/>
          <w:color w:val="000000"/>
        </w:rPr>
        <w:t xml:space="preserve">A. It was sold under reference BH-0314</w:t>
      </w:r>
    </w:p>
    <w:p>
      <w:pPr>
        <w:spacing w:after="40"/>
        <w:ind w:left="360"/>
      </w:pPr>
      <w:r>
        <w:rPr>
          <w:b w:val="false"/>
          <w:bCs w:val="false"/>
          <w:color w:val="000000"/>
        </w:rPr>
        <w:t xml:space="preserve">B. It is listed but unsold, with a still-live provisioned account</w:t>
      </w:r>
    </w:p>
    <w:p>
      <w:pPr>
        <w:spacing w:after="40"/>
        <w:ind w:left="360"/>
      </w:pPr>
      <w:r>
        <w:rPr>
          <w:b w:val="false"/>
          <w:bCs w:val="false"/>
          <w:color w:val="000000"/>
        </w:rPr>
        <w:t xml:space="preserve">C. It never appears in the matrix</w:t>
      </w:r>
    </w:p>
    <w:p>
      <w:pPr>
        <w:spacing w:after="40"/>
        <w:ind w:left="360"/>
      </w:pPr>
      <w:r>
        <w:rPr>
          <w:b w:val="false"/>
          <w:bCs w:val="false"/>
          <w:color w:val="000000"/>
        </w:rPr>
        <w:t xml:space="preserve">D. It was the first client ever provisioned</w:t>
      </w:r>
    </w:p>
    <w:p>
      <w:pPr>
        <w:spacing w:after="100"/>
      </w:pPr>
      <w:r>
        <w:t xml:space="preserve"/>
      </w:r>
    </w:p>
    <w:p>
      <w:pPr>
        <w:spacing w:after="100"/>
      </w:pPr>
      <w:r>
        <w:rPr>
          <w:b/>
          <w:bCs/>
        </w:rPr>
        <w:t xml:space="preserve">3. What is the correct sequence of the proceeds trail?</w:t>
      </w:r>
    </w:p>
    <w:p>
      <w:pPr>
        <w:spacing w:after="40"/>
        <w:ind w:left="360"/>
      </w:pPr>
      <w:r>
        <w:rPr>
          <w:b w:val="false"/>
          <w:bCs w:val="false"/>
          <w:color w:val="000000"/>
        </w:rPr>
        <w:t xml:space="preserve">A. CoinBridge → wallet w3 → sale → personal account</w:t>
      </w:r>
    </w:p>
    <w:p>
      <w:pPr>
        <w:spacing w:after="40"/>
        <w:ind w:left="360"/>
      </w:pPr>
      <w:r>
        <w:rPr>
          <w:b w:val="false"/>
          <w:bCs w:val="false"/>
          <w:color w:val="000000"/>
        </w:rPr>
        <w:t xml:space="preserve">B. Sale (BH-0314) → escrow → wallet w3 → CoinBridge → RestonIT/personal accounts</w:t>
      </w:r>
    </w:p>
    <w:p>
      <w:pPr>
        <w:spacing w:after="40"/>
        <w:ind w:left="360"/>
      </w:pPr>
      <w:r>
        <w:rPr>
          <w:b w:val="false"/>
          <w:bCs w:val="false"/>
          <w:color w:val="000000"/>
        </w:rPr>
        <w:t xml:space="preserve">C. Personal account → wallet w3 → sale</w:t>
      </w:r>
    </w:p>
    <w:p>
      <w:pPr>
        <w:spacing w:after="40"/>
        <w:ind w:left="360"/>
      </w:pPr>
      <w:r>
        <w:rPr>
          <w:b w:val="false"/>
          <w:bCs w:val="false"/>
          <w:color w:val="000000"/>
        </w:rPr>
        <w:t xml:space="preserve">D. There is no traceable sequence</w:t>
      </w:r>
    </w:p>
    <w:p>
      <w:pPr>
        <w:spacing w:after="100"/>
      </w:pPr>
      <w:r>
        <w:t xml:space="preserve"/>
      </w:r>
    </w:p>
    <w:p>
      <w:pPr>
        <w:spacing w:after="100"/>
      </w:pPr>
      <w:r>
        <w:rPr>
          <w:b/>
          <w:bCs/>
        </w:rPr>
        <w:t xml:space="preserve">4. What should your squad do about SaturnV Mart's live access, relative to finishing the attribution memo?</w:t>
      </w:r>
    </w:p>
    <w:p>
      <w:pPr>
        <w:spacing w:after="40"/>
        <w:ind w:left="360"/>
      </w:pPr>
      <w:r>
        <w:rPr>
          <w:b w:val="false"/>
          <w:bCs w:val="false"/>
          <w:color w:val="000000"/>
        </w:rPr>
        <w:t xml:space="preserve">A. Finish the memo first</w:t>
      </w:r>
    </w:p>
    <w:p>
      <w:pPr>
        <w:spacing w:after="40"/>
        <w:ind w:left="360"/>
      </w:pPr>
      <w:r>
        <w:rPr>
          <w:b w:val="false"/>
          <w:bCs w:val="false"/>
          <w:color w:val="000000"/>
        </w:rPr>
        <w:t xml:space="preserve">B. Initiate the notification action immediately, in parallel with finishing the memo</w:t>
      </w:r>
    </w:p>
    <w:p>
      <w:pPr>
        <w:spacing w:after="40"/>
        <w:ind w:left="360"/>
      </w:pPr>
      <w:r>
        <w:rPr>
          <w:b w:val="false"/>
          <w:bCs w:val="false"/>
          <w:color w:val="000000"/>
        </w:rPr>
        <w:t xml:space="preserve">C. Wait for Friday</w:t>
      </w:r>
    </w:p>
    <w:p>
      <w:pPr>
        <w:spacing w:after="40"/>
        <w:ind w:left="360"/>
      </w:pPr>
      <w:r>
        <w:rPr>
          <w:b w:val="false"/>
          <w:bCs w:val="false"/>
          <w:color w:val="000000"/>
        </w:rPr>
        <w:t xml:space="preserve">D. Refer it to another squad</w:t>
      </w:r>
    </w:p>
    <w:p>
      <w:pPr>
        <w:spacing w:after="100"/>
      </w:pPr>
      <w:r>
        <w:t xml:space="preserve"/>
      </w:r>
    </w:p>
    <w:p>
      <w:pPr>
        <w:spacing w:after="100"/>
      </w:pPr>
      <w:r>
        <w:rPr>
          <w:b/>
          <w:bCs/>
        </w:rPr>
        <w:t xml:space="preserve">5. What is required before any seized item is used in today's charging-outline analysis?</w:t>
      </w:r>
    </w:p>
    <w:p>
      <w:pPr>
        <w:spacing w:after="40"/>
        <w:ind w:left="360"/>
      </w:pPr>
      <w:r>
        <w:rPr>
          <w:b w:val="false"/>
          <w:bCs w:val="false"/>
          <w:color w:val="000000"/>
        </w:rPr>
        <w:t xml:space="preserve">A. Nothing</w:t>
      </w:r>
    </w:p>
    <w:p>
      <w:pPr>
        <w:spacing w:after="40"/>
        <w:ind w:left="360"/>
      </w:pPr>
      <w:r>
        <w:rPr>
          <w:b w:val="false"/>
          <w:bCs w:val="false"/>
          <w:color w:val="000000"/>
        </w:rPr>
        <w:t xml:space="preserve">B. Custody reconciliation against Wednesday's on-scene forms</w:t>
      </w:r>
    </w:p>
    <w:p>
      <w:pPr>
        <w:spacing w:after="40"/>
        <w:ind w:left="360"/>
      </w:pPr>
      <w:r>
        <w:rPr>
          <w:b w:val="false"/>
          <w:bCs w:val="false"/>
          <w:color w:val="000000"/>
        </w:rPr>
        <w:t xml:space="preserve">C. A second search warrant</w:t>
      </w:r>
    </w:p>
    <w:p>
      <w:pPr>
        <w:spacing w:after="40"/>
        <w:ind w:left="360"/>
      </w:pPr>
      <w:r>
        <w:rPr>
          <w:b w:val="false"/>
          <w:bCs w:val="false"/>
          <w:color w:val="000000"/>
        </w:rPr>
        <w:t xml:space="preserve">D. A judge's pre-approval of each item</w:t>
      </w:r>
    </w:p>
    <w:p>
      <w:pPr>
        <w:spacing w:after="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UNCLASSIFIED//FOUO//PACT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1E2761"/>
        <w:sz w:val="16"/>
        <w:szCs w:val="16"/>
      </w:rPr>
      <w:t xml:space="preserve">UNCLASSIFIED//FOUO//PACT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2026-09-16T19:40:33.304Z</dcterms:created>
  <dcterms:modified xsi:type="dcterms:W3CDTF">2026-09-16T19:40:33.305Z</dcterms:modified>
</cp:coreProperties>
</file>

<file path=docProps/custom.xml><?xml version="1.0" encoding="utf-8"?>
<Properties xmlns="http://schemas.openxmlformats.org/officeDocument/2006/custom-properties" xmlns:vt="http://schemas.openxmlformats.org/officeDocument/2006/docPropsVTypes"/>
</file>