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line="360" w:lineRule="auto" w:before="0" w:after="0"/>
        <w:jc w:val="center"/>
      </w:pPr>
      <w:r>
        <w:rPr>
          <w:rFonts w:ascii="Times New Roman" w:hAnsi="Times New Roman"/>
          <w:b/>
          <w:sz w:val="28"/>
        </w:rPr>
        <w:t>ЛАБОРАТОРНАЯ РАБОТА №2</w:t>
      </w:r>
    </w:p>
    <w:p>
      <w:pPr>
        <w:keepNext/>
        <w:spacing w:line="360" w:lineRule="auto" w:before="0" w:after="0"/>
        <w:jc w:val="center"/>
      </w:pPr>
      <w:r>
        <w:rPr>
          <w:rFonts w:ascii="Times New Roman" w:hAnsi="Times New Roman"/>
          <w:b/>
          <w:sz w:val="28"/>
        </w:rPr>
        <w:t>«ОЦЕНКА РИСКОВ ПРОЕКТА И РАСЧЁТ СЕБЕСТОИМОСТИ ПРОЕКТА ПО ТРУДОЗАТРАТАМ»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sz w:val="28"/>
        </w:rPr>
        <w:t>Выполнил ст. гр. ЗПИуд-123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sz w:val="28"/>
        </w:rPr>
        <w:t>Силантьев К.Д.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Тема проекта: Автоматизированная система «База детейлинг студии» (АС «БДС»)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Цель работы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Выбрать приоритеты проекта, рассмотреть возможные риски и определить ориентировочные затраты на создание системы для детейлинг-студии. Выполнить расчёт трудоёмкости, срока разработки и потребности в специалистах.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1. Характеристика проекта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АС «БДС» предназначена для студии «Шайн». Система объединяет запись клиентов на услуги, расписание мастеров, рабочие задания, склад химии, клиентскую историю и оплату. В программе лояльности учитываются бонусы, а фотографии автомобиля до и после работы хранятся в MinIO.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Исходные требования и ограничения приведены в ЛР №1 первого семестра. Методика Scrum описана в ЛР №2, команда из шести участников — в ЛР №3, технологии React, Django REST Framework и PostgreSQL 16 — в ЛР №4. Период проекта по ТЗ — апрель–декабрь 2026 года. Требования к отклику: не более 2 секунд при 15 одновременных пользователях; восстановление после сбоя — не более 20 минут.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Для предварительного расчёта приняты ранги прецедентов, оценки трёх условных экспертов и стоимостные параметры. Они являются учебными допущениями и не отражают проведённый опрос или утверждённую смету.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2. Матрица компромиссов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381"/>
        <w:gridCol w:w="2381"/>
        <w:gridCol w:w="2381"/>
      </w:tblGrid>
      <w:tr>
        <w:trPr>
          <w:cantSplit/>
          <w:tblHeader/>
        </w:trPr>
        <w:tc>
          <w:tcPr>
            <w:tcW w:type="dxa" w:w="226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Фактор</w:t>
            </w:r>
          </w:p>
        </w:tc>
        <w:tc>
          <w:tcPr>
            <w:tcW w:type="dxa" w:w="238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Фиксируется</w:t>
            </w:r>
          </w:p>
        </w:tc>
        <w:tc>
          <w:tcPr>
            <w:tcW w:type="dxa" w:w="238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Согласовывается</w:t>
            </w:r>
          </w:p>
        </w:tc>
        <w:tc>
          <w:tcPr>
            <w:tcW w:type="dxa" w:w="238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Принимается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Ресурсы</w:t>
            </w:r>
          </w:p>
        </w:tc>
        <w:tc>
          <w:tcPr>
            <w:tcW w:type="dxa" w:w="238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238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X</w:t>
            </w:r>
          </w:p>
        </w:tc>
        <w:tc>
          <w:tcPr>
            <w:tcW w:type="dxa" w:w="238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Время</w:t>
            </w:r>
          </w:p>
        </w:tc>
        <w:tc>
          <w:tcPr>
            <w:tcW w:type="dxa" w:w="238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X</w:t>
            </w:r>
          </w:p>
        </w:tc>
        <w:tc>
          <w:tcPr>
            <w:tcW w:type="dxa" w:w="238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238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Возможности</w:t>
            </w:r>
          </w:p>
        </w:tc>
        <w:tc>
          <w:tcPr>
            <w:tcW w:type="dxa" w:w="238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238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238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X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Время фиксируется сроком завершения учебного проекта в декабре. Ресурсы можно согласовывать: меняются загрузка участников, распределение задач и расходы на инфраструктуру. Возможности выбираются в пределах доступного времени и ресурсов.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При нехватке времени сначала переносятся улучшения интерфейса и функции, добавленные сверх ТЗ. Запись клиентов, разграничение ролей, задания, склад и оплата сохраняют приоритет. Оффлайн-режим и остальные обязательные требования также не исключаются без согласования изменения объёма. Расширение до трёх студий учитывается в архитектуре и проверках разделения данных.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3. Оценка рисков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Риски оценены по шкале от 1 до 5: 1 — незначительный, 2 — низкий, 3 — средний, 4 — высокий, 5 — критический. В учебной модели Э1 представляет Product Owner, Э2 — тимлида, Э3 — QA. Рейтинг рассчитывается как среднее трёх оценок: R = (Э1 + Э2 + Э3) / 3.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4025"/>
        <w:gridCol w:w="624"/>
        <w:gridCol w:w="624"/>
        <w:gridCol w:w="624"/>
        <w:gridCol w:w="1417"/>
        <w:gridCol w:w="1417"/>
      </w:tblGrid>
      <w:tr>
        <w:trPr>
          <w:cantSplit/>
          <w:tblHeader/>
        </w:trPr>
        <w:tc>
          <w:tcPr>
            <w:tcW w:type="dxa" w:w="6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ID</w:t>
            </w:r>
          </w:p>
        </w:tc>
        <w:tc>
          <w:tcPr>
            <w:tcW w:type="dxa" w:w="402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Возможное событие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Э1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Э2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Э3</w:t>
            </w:r>
          </w:p>
        </w:tc>
        <w:tc>
          <w:tcPr>
            <w:tcW w:type="dxa" w:w="141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Рейтинг</w:t>
            </w:r>
          </w:p>
        </w:tc>
        <w:tc>
          <w:tcPr>
            <w:tcW w:type="dxa" w:w="141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Место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R01</w:t>
            </w:r>
          </w:p>
        </w:tc>
        <w:tc>
          <w:tcPr>
            <w:tcW w:type="dxa" w:w="402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Двойная запись к одному мастеру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5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5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5</w:t>
            </w:r>
          </w:p>
        </w:tc>
        <w:tc>
          <w:tcPr>
            <w:tcW w:type="dxa" w:w="141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5,00</w:t>
            </w:r>
          </w:p>
        </w:tc>
        <w:tc>
          <w:tcPr>
            <w:tcW w:type="dxa" w:w="141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1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R02</w:t>
            </w:r>
          </w:p>
        </w:tc>
        <w:tc>
          <w:tcPr>
            <w:tcW w:type="dxa" w:w="402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Неверный остаток или повторное списание химии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5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4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5</w:t>
            </w:r>
          </w:p>
        </w:tc>
        <w:tc>
          <w:tcPr>
            <w:tcW w:type="dxa" w:w="141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4,67</w:t>
            </w:r>
          </w:p>
        </w:tc>
        <w:tc>
          <w:tcPr>
            <w:tcW w:type="dxa" w:w="141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R03</w:t>
            </w:r>
          </w:p>
        </w:tc>
        <w:tc>
          <w:tcPr>
            <w:tcW w:type="dxa" w:w="402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Повторная регистрация платежа эквайринга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4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5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5</w:t>
            </w:r>
          </w:p>
        </w:tc>
        <w:tc>
          <w:tcPr>
            <w:tcW w:type="dxa" w:w="141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4,67</w:t>
            </w:r>
          </w:p>
        </w:tc>
        <w:tc>
          <w:tcPr>
            <w:tcW w:type="dxa" w:w="141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3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R04</w:t>
            </w:r>
          </w:p>
        </w:tc>
        <w:tc>
          <w:tcPr>
            <w:tcW w:type="dxa" w:w="402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Потеря изменений после работы без сети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4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4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5</w:t>
            </w:r>
          </w:p>
        </w:tc>
        <w:tc>
          <w:tcPr>
            <w:tcW w:type="dxa" w:w="141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4,33</w:t>
            </w:r>
          </w:p>
        </w:tc>
        <w:tc>
          <w:tcPr>
            <w:tcW w:type="dxa" w:w="141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4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R05</w:t>
            </w:r>
          </w:p>
        </w:tc>
        <w:tc>
          <w:tcPr>
            <w:tcW w:type="dxa" w:w="402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Доступ мастера к чужим данным и заданиям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4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4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4</w:t>
            </w:r>
          </w:p>
        </w:tc>
        <w:tc>
          <w:tcPr>
            <w:tcW w:type="dxa" w:w="141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4,00</w:t>
            </w:r>
          </w:p>
        </w:tc>
        <w:tc>
          <w:tcPr>
            <w:tcW w:type="dxa" w:w="141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5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R06</w:t>
            </w:r>
          </w:p>
        </w:tc>
        <w:tc>
          <w:tcPr>
            <w:tcW w:type="dxa" w:w="402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Уточнение правил бонусов и отмены после реализации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4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3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4</w:t>
            </w:r>
          </w:p>
        </w:tc>
        <w:tc>
          <w:tcPr>
            <w:tcW w:type="dxa" w:w="141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3,67</w:t>
            </w:r>
          </w:p>
        </w:tc>
        <w:tc>
          <w:tcPr>
            <w:tcW w:type="dxa" w:w="141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6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R07</w:t>
            </w:r>
          </w:p>
        </w:tc>
        <w:tc>
          <w:tcPr>
            <w:tcW w:type="dxa" w:w="402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Сбой сервера и невозможность восстановления за 20 минут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3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4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4</w:t>
            </w:r>
          </w:p>
        </w:tc>
        <w:tc>
          <w:tcPr>
            <w:tcW w:type="dxa" w:w="141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3,67</w:t>
            </w:r>
          </w:p>
        </w:tc>
        <w:tc>
          <w:tcPr>
            <w:tcW w:type="dxa" w:w="141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7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R08</w:t>
            </w:r>
          </w:p>
        </w:tc>
        <w:tc>
          <w:tcPr>
            <w:tcW w:type="dxa" w:w="402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Недостаточная квалификация по выбранному стеку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3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4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3</w:t>
            </w:r>
          </w:p>
        </w:tc>
        <w:tc>
          <w:tcPr>
            <w:tcW w:type="dxa" w:w="141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3,33</w:t>
            </w:r>
          </w:p>
        </w:tc>
        <w:tc>
          <w:tcPr>
            <w:tcW w:type="dxa" w:w="141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8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R09</w:t>
            </w:r>
          </w:p>
        </w:tc>
        <w:tc>
          <w:tcPr>
            <w:tcW w:type="dxa" w:w="402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Отклик более 2 секунд при 15 пользователях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3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3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4</w:t>
            </w:r>
          </w:p>
        </w:tc>
        <w:tc>
          <w:tcPr>
            <w:tcW w:type="dxa" w:w="141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3,33</w:t>
            </w:r>
          </w:p>
        </w:tc>
        <w:tc>
          <w:tcPr>
            <w:tcW w:type="dxa" w:w="141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9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R10</w:t>
            </w:r>
          </w:p>
        </w:tc>
        <w:tc>
          <w:tcPr>
            <w:tcW w:type="dxa" w:w="402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Ошибки переноса клиентской базы и остатков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3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3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3</w:t>
            </w:r>
          </w:p>
        </w:tc>
        <w:tc>
          <w:tcPr>
            <w:tcW w:type="dxa" w:w="141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3,00</w:t>
            </w:r>
          </w:p>
        </w:tc>
        <w:tc>
          <w:tcPr>
            <w:tcW w:type="dxa" w:w="141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10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R11</w:t>
            </w:r>
          </w:p>
        </w:tc>
        <w:tc>
          <w:tcPr>
            <w:tcW w:type="dxa" w:w="402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Задержка работ к декабрьской защите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3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3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3</w:t>
            </w:r>
          </w:p>
        </w:tc>
        <w:tc>
          <w:tcPr>
            <w:tcW w:type="dxa" w:w="141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3,00</w:t>
            </w:r>
          </w:p>
        </w:tc>
        <w:tc>
          <w:tcPr>
            <w:tcW w:type="dxa" w:w="141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11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R12</w:t>
            </w:r>
          </w:p>
        </w:tc>
        <w:tc>
          <w:tcPr>
            <w:tcW w:type="dxa" w:w="4025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Недоступность фотографий в MinIO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2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3</w:t>
            </w:r>
          </w:p>
        </w:tc>
        <w:tc>
          <w:tcPr>
            <w:tcW w:type="dxa" w:w="62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3</w:t>
            </w:r>
          </w:p>
        </w:tc>
        <w:tc>
          <w:tcPr>
            <w:tcW w:type="dxa" w:w="141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2,67</w:t>
            </w:r>
          </w:p>
        </w:tc>
        <w:tc>
          <w:tcPr>
            <w:tcW w:type="dxa" w:w="141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12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Например, риск R03 получил рейтинг (4 + 5 + 5) / 3 = 4,67. При одинаковых средних оценках выше располагается риск с меньшим ID. Для подробного анализа выбраны R01–R05. На листе Excel «Оценка рисков» можно изменить оценки; состав первых пяти рисков на листе «Анализ рисков» обновится автоматически.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4. Анализ пяти основных рисков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4.1. R01 — Двойная запись к одному мастеру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Рейтинг: 5,00. Ответственные: Backend и менеджер.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rPr>
          <w:cantSplit/>
          <w:tblHeader/>
        </w:trPr>
        <w:tc>
          <w:tcPr>
            <w:tcW w:type="dxa" w:w="238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Элемент анализа</w:t>
            </w:r>
          </w:p>
        </w:tc>
        <w:tc>
          <w:tcPr>
            <w:tcW w:type="dxa" w:w="703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Последствия</w:t>
            </w:r>
          </w:p>
        </w:tc>
        <w:tc>
          <w:tcPr>
            <w:tcW w:type="dxa" w:w="703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Срыв визита и конфликт с клиентом.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Предотвращение</w:t>
            </w:r>
          </w:p>
        </w:tc>
        <w:tc>
          <w:tcPr>
            <w:tcW w:type="dxa" w:w="703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Проверять пересечение интервалов на сервере и тестировать конкурентные запросы.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Минимизация ущерба</w:t>
            </w:r>
          </w:p>
        </w:tc>
        <w:tc>
          <w:tcPr>
            <w:tcW w:type="dxa" w:w="703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Связаться с клиентами, предложить другой интервал и исправить причину конфликта.</w:t>
            </w:r>
          </w:p>
        </w:tc>
      </w:tr>
    </w:tbl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4.2. R02 — Неверный остаток или повторное списание химии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Рейтинг: 4,67. Ответственные: Backend и QA.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rPr>
          <w:cantSplit/>
          <w:tblHeader/>
        </w:trPr>
        <w:tc>
          <w:tcPr>
            <w:tcW w:type="dxa" w:w="238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Элемент анализа</w:t>
            </w:r>
          </w:p>
        </w:tc>
        <w:tc>
          <w:tcPr>
            <w:tcW w:type="dxa" w:w="703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Последствия</w:t>
            </w:r>
          </w:p>
        </w:tc>
        <w:tc>
          <w:tcPr>
            <w:tcW w:type="dxa" w:w="703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Нехватка материалов и искажённая себестоимость услуг.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Предотвращение</w:t>
            </w:r>
          </w:p>
        </w:tc>
        <w:tc>
          <w:tcPr>
            <w:tcW w:type="dxa" w:w="703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Единые единицы измерения, транзакции и уникальные номера документов.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Минимизация ущерба</w:t>
            </w:r>
          </w:p>
        </w:tc>
        <w:tc>
          <w:tcPr>
            <w:tcW w:type="dxa" w:w="703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Сверить склад с документами, исправить движения и провести инвентаризацию.</w:t>
            </w:r>
          </w:p>
        </w:tc>
      </w:tr>
    </w:tbl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4.3. R03 — Повторная регистрация платежа эквайринга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Рейтинг: 4,67. Ответственные: Backend и тимлид.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rPr>
          <w:cantSplit/>
          <w:tblHeader/>
        </w:trPr>
        <w:tc>
          <w:tcPr>
            <w:tcW w:type="dxa" w:w="238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Элемент анализа</w:t>
            </w:r>
          </w:p>
        </w:tc>
        <w:tc>
          <w:tcPr>
            <w:tcW w:type="dxa" w:w="703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Последствия</w:t>
            </w:r>
          </w:p>
        </w:tc>
        <w:tc>
          <w:tcPr>
            <w:tcW w:type="dxa" w:w="703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Завышенная выручка и неверный статус оплаты визита.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Предотвращение</w:t>
            </w:r>
          </w:p>
        </w:tc>
        <w:tc>
          <w:tcPr>
            <w:tcW w:type="dxa" w:w="703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Проверять подпись ответа и повторяемость callback по ID платежа.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Минимизация ущерба</w:t>
            </w:r>
          </w:p>
        </w:tc>
        <w:tc>
          <w:tcPr>
            <w:tcW w:type="dxa" w:w="703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Сверить операции с провайдером, убрать повторный учёт и восстановить статус.</w:t>
            </w:r>
          </w:p>
        </w:tc>
      </w:tr>
    </w:tbl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4.4. R04 — Потеря изменений после работы без сети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Рейтинг: 4,33. Ответственные: Тимлид и QA.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rPr>
          <w:cantSplit/>
          <w:tblHeader/>
        </w:trPr>
        <w:tc>
          <w:tcPr>
            <w:tcW w:type="dxa" w:w="238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Элемент анализа</w:t>
            </w:r>
          </w:p>
        </w:tc>
        <w:tc>
          <w:tcPr>
            <w:tcW w:type="dxa" w:w="703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Последствия</w:t>
            </w:r>
          </w:p>
        </w:tc>
        <w:tc>
          <w:tcPr>
            <w:tcW w:type="dxa" w:w="703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Исчезновение записей и несогласованность заданий и склада.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Предотвращение</w:t>
            </w:r>
          </w:p>
        </w:tc>
        <w:tc>
          <w:tcPr>
            <w:tcW w:type="dxa" w:w="703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Очередь операций, подтверждение доставки и согласованные правила конфликтов.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Минимизация ущерба</w:t>
            </w:r>
          </w:p>
        </w:tc>
        <w:tc>
          <w:tcPr>
            <w:tcW w:type="dxa" w:w="703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Остановить спорную синхронизацию, восстановить журнал и вручную сверить данные.</w:t>
            </w:r>
          </w:p>
        </w:tc>
      </w:tr>
    </w:tbl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4.5. R05 — Доступ мастера к чужим данным и заданиям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Рейтинг: 4,00. Ответственные: Backend.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rPr>
          <w:cantSplit/>
          <w:tblHeader/>
        </w:trPr>
        <w:tc>
          <w:tcPr>
            <w:tcW w:type="dxa" w:w="238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Элемент анализа</w:t>
            </w:r>
          </w:p>
        </w:tc>
        <w:tc>
          <w:tcPr>
            <w:tcW w:type="dxa" w:w="703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Последствия</w:t>
            </w:r>
          </w:p>
        </w:tc>
        <w:tc>
          <w:tcPr>
            <w:tcW w:type="dxa" w:w="703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Раскрытие клиентской информации и изменение чужой работы.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Предотвращение</w:t>
            </w:r>
          </w:p>
        </w:tc>
        <w:tc>
          <w:tcPr>
            <w:tcW w:type="dxa" w:w="703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Проверять роль и владельца объекта в каждом API; проводить отрицательные тесты.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Минимизация ущерба</w:t>
            </w:r>
          </w:p>
        </w:tc>
        <w:tc>
          <w:tcPr>
            <w:tcW w:type="dxa" w:w="703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Отозвать сессии, ограничить доступ, исправить проверки и изучить журнал действий.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Предупреждающие меры закладываются в задачи спринта до появления проблемы. После наступления события команда выполняет действия по минимизации ущерба и проверяет, что данные снова согласованы.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5. Прецеденты и базовые трудозатраты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Из требований выделены 20 прецедентов. На листе «Расчёт» для каждого указаны краткий сценарий и ранг сложности. Норматив включает анализ, проектирование, программирование, тестирование и минимальную документацию, поэтому эти работы повторно не добавляются.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Прецеденты относятся к обычным бизнес-задачам. Сложность оценивается по пятибалльной шкале таблицы 3 методички: 1 — очень простой, 2 — простой, 3 — средний, 4 — сложный, 5 — очень сложный. Научные алгоритмы в расчёте отсутствуют.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1701"/>
        <w:gridCol w:w="3288"/>
        <w:gridCol w:w="3288"/>
      </w:tblGrid>
      <w:tr>
        <w:trPr>
          <w:cantSplit/>
          <w:tblHeader/>
        </w:trPr>
        <w:tc>
          <w:tcPr>
            <w:tcW w:type="dxa" w:w="113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Ранг</w:t>
            </w:r>
          </w:p>
        </w:tc>
        <w:tc>
          <w:tcPr>
            <w:tcW w:type="dxa" w:w="170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Количество</w:t>
            </w:r>
          </w:p>
        </w:tc>
        <w:tc>
          <w:tcPr>
            <w:tcW w:type="dxa" w:w="328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Норматив, чел.-ч</w:t>
            </w:r>
          </w:p>
        </w:tc>
        <w:tc>
          <w:tcPr>
            <w:tcW w:type="dxa" w:w="328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Всего, чел.-ч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1</w:t>
            </w:r>
          </w:p>
        </w:tc>
        <w:tc>
          <w:tcPr>
            <w:tcW w:type="dxa" w:w="170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0</w:t>
            </w:r>
          </w:p>
        </w:tc>
        <w:tc>
          <w:tcPr>
            <w:tcW w:type="dxa" w:w="328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32</w:t>
            </w:r>
          </w:p>
        </w:tc>
        <w:tc>
          <w:tcPr>
            <w:tcW w:type="dxa" w:w="328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0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2</w:t>
            </w:r>
          </w:p>
        </w:tc>
        <w:tc>
          <w:tcPr>
            <w:tcW w:type="dxa" w:w="170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4</w:t>
            </w:r>
          </w:p>
        </w:tc>
        <w:tc>
          <w:tcPr>
            <w:tcW w:type="dxa" w:w="328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45</w:t>
            </w:r>
          </w:p>
        </w:tc>
        <w:tc>
          <w:tcPr>
            <w:tcW w:type="dxa" w:w="328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180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3</w:t>
            </w:r>
          </w:p>
        </w:tc>
        <w:tc>
          <w:tcPr>
            <w:tcW w:type="dxa" w:w="170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11</w:t>
            </w:r>
          </w:p>
        </w:tc>
        <w:tc>
          <w:tcPr>
            <w:tcW w:type="dxa" w:w="328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58</w:t>
            </w:r>
          </w:p>
        </w:tc>
        <w:tc>
          <w:tcPr>
            <w:tcW w:type="dxa" w:w="328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638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4</w:t>
            </w:r>
          </w:p>
        </w:tc>
        <w:tc>
          <w:tcPr>
            <w:tcW w:type="dxa" w:w="170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4</w:t>
            </w:r>
          </w:p>
        </w:tc>
        <w:tc>
          <w:tcPr>
            <w:tcW w:type="dxa" w:w="328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71</w:t>
            </w:r>
          </w:p>
        </w:tc>
        <w:tc>
          <w:tcPr>
            <w:tcW w:type="dxa" w:w="328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284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5</w:t>
            </w:r>
          </w:p>
        </w:tc>
        <w:tc>
          <w:tcPr>
            <w:tcW w:type="dxa" w:w="170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1</w:t>
            </w:r>
          </w:p>
        </w:tc>
        <w:tc>
          <w:tcPr>
            <w:tcW w:type="dxa" w:w="328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94</w:t>
            </w:r>
          </w:p>
        </w:tc>
        <w:tc>
          <w:tcPr>
            <w:tcW w:type="dxa" w:w="328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94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Итого</w:t>
            </w:r>
          </w:p>
        </w:tc>
        <w:tc>
          <w:tcPr>
            <w:tcW w:type="dxa" w:w="170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20</w:t>
            </w:r>
          </w:p>
        </w:tc>
        <w:tc>
          <w:tcPr>
            <w:tcW w:type="dxa" w:w="328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328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1196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Наиболее сложный прецедент — работа без сети и последующая синхронизация, ранг 5. Запись, списание материалов, бонусы и эквайринг получили ранг 4: здесь важны транзакции, запрет повторной обработки и согласованность связанных данных. Справочник услуг, приход материалов и просмотр истории относятся к рангу 2.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Для поправки на технологии используется коэффициент AJAX 1,5 из таблицы 4 как учебная аналогия асинхронного React/API-приложения. Для Django отдельный коэффициент в методичке не установлен. Разработка и тестирование: 1 196 × 1,5 = 1 794 чел.-ч.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6. Сопутствующие работы и рисковые коэффициенты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60"/>
        <w:gridCol w:w="2551"/>
      </w:tblGrid>
      <w:tr>
        <w:trPr>
          <w:cantSplit/>
          <w:tblHeader/>
        </w:trPr>
        <w:tc>
          <w:tcPr>
            <w:tcW w:type="dxa" w:w="686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Работа</w:t>
            </w:r>
          </w:p>
        </w:tc>
        <w:tc>
          <w:tcPr>
            <w:tcW w:type="dxa" w:w="255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Трудозатраты, чел.-ч</w:t>
            </w:r>
          </w:p>
        </w:tc>
      </w:tr>
      <w:tr>
        <w:trPr>
          <w:cantSplit/>
        </w:trPr>
        <w:tc>
          <w:tcPr>
            <w:tcW w:type="dxa" w:w="686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Полное руководство пользователя</w:t>
            </w:r>
          </w:p>
        </w:tc>
        <w:tc>
          <w:tcPr>
            <w:tcW w:type="dxa" w:w="255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28</w:t>
            </w:r>
          </w:p>
        </w:tc>
      </w:tr>
      <w:tr>
        <w:trPr>
          <w:cantSplit/>
        </w:trPr>
        <w:tc>
          <w:tcPr>
            <w:tcW w:type="dxa" w:w="686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Полное руководство администратора</w:t>
            </w:r>
          </w:p>
        </w:tc>
        <w:tc>
          <w:tcPr>
            <w:tcW w:type="dxa" w:w="255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20</w:t>
            </w:r>
          </w:p>
        </w:tc>
      </w:tr>
      <w:tr>
        <w:trPr>
          <w:cantSplit/>
        </w:trPr>
        <w:tc>
          <w:tcPr>
            <w:tcW w:type="dxa" w:w="686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Инструкция по развёртыванию и сопровождению</w:t>
            </w:r>
          </w:p>
        </w:tc>
        <w:tc>
          <w:tcPr>
            <w:tcW w:type="dxa" w:w="255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24</w:t>
            </w:r>
          </w:p>
        </w:tc>
      </w:tr>
      <w:tr>
        <w:trPr>
          <w:cantSplit/>
        </w:trPr>
        <w:tc>
          <w:tcPr>
            <w:tcW w:type="dxa" w:w="686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Дополнительная документация — всего</w:t>
            </w:r>
          </w:p>
        </w:tc>
        <w:tc>
          <w:tcPr>
            <w:tcW w:type="dxa" w:w="255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72</w:t>
            </w:r>
          </w:p>
        </w:tc>
      </w:tr>
      <w:tr>
        <w:trPr>
          <w:cantSplit/>
        </w:trPr>
        <w:tc>
          <w:tcPr>
            <w:tcW w:type="dxa" w:w="686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Управление: 25 % от разработки и тестирования</w:t>
            </w:r>
          </w:p>
        </w:tc>
        <w:tc>
          <w:tcPr>
            <w:tcW w:type="dxa" w:w="255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448,50</w:t>
            </w:r>
          </w:p>
        </w:tc>
      </w:tr>
      <w:tr>
        <w:trPr>
          <w:cantSplit/>
        </w:trPr>
        <w:tc>
          <w:tcPr>
            <w:tcW w:type="dxa" w:w="686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Развёртывание приложения</w:t>
            </w:r>
          </w:p>
        </w:tc>
        <w:tc>
          <w:tcPr>
            <w:tcW w:type="dxa" w:w="255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16</w:t>
            </w:r>
          </w:p>
        </w:tc>
      </w:tr>
      <w:tr>
        <w:trPr>
          <w:cantSplit/>
        </w:trPr>
        <w:tc>
          <w:tcPr>
            <w:tcW w:type="dxa" w:w="686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Перенос и проверка начальных данных</w:t>
            </w:r>
          </w:p>
        </w:tc>
        <w:tc>
          <w:tcPr>
            <w:tcW w:type="dxa" w:w="255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24</w:t>
            </w:r>
          </w:p>
        </w:tc>
      </w:tr>
      <w:tr>
        <w:trPr>
          <w:cantSplit/>
        </w:trPr>
        <w:tc>
          <w:tcPr>
            <w:tcW w:type="dxa" w:w="686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Подготовка и проведение двух занятий по 4 часа</w:t>
            </w:r>
          </w:p>
        </w:tc>
        <w:tc>
          <w:tcPr>
            <w:tcW w:type="dxa" w:w="255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16</w:t>
            </w:r>
          </w:p>
        </w:tc>
      </w:tr>
      <w:tr>
        <w:trPr>
          <w:cantSplit/>
        </w:trPr>
        <w:tc>
          <w:tcPr>
            <w:tcW w:type="dxa" w:w="686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Работы внедрения — всего</w:t>
            </w:r>
          </w:p>
        </w:tc>
        <w:tc>
          <w:tcPr>
            <w:tcW w:type="dxa" w:w="255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56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В обучение включены 8 часов подготовки и 8 часов проведения занятий. Полные руководства дополняют минимальную документацию прецедентов. Внедрение, начальный импорт и обучение добавляются отдельно от создания функций системы.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1"/>
        <w:gridCol w:w="1587"/>
        <w:gridCol w:w="4592"/>
      </w:tblGrid>
      <w:tr>
        <w:trPr>
          <w:cantSplit/>
          <w:tblHeader/>
        </w:trPr>
        <w:tc>
          <w:tcPr>
            <w:tcW w:type="dxa" w:w="323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Внешняя неопределённость</w:t>
            </w:r>
          </w:p>
        </w:tc>
        <w:tc>
          <w:tcPr>
            <w:tcW w:type="dxa" w:w="158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Коэффициент</w:t>
            </w:r>
          </w:p>
        </w:tc>
        <w:tc>
          <w:tcPr>
            <w:tcW w:type="dxa" w:w="459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323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Интерфейс эквайринга</w:t>
            </w:r>
          </w:p>
        </w:tc>
        <w:tc>
          <w:tcPr>
            <w:tcW w:type="dxa" w:w="158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1,10</w:t>
            </w:r>
          </w:p>
        </w:tc>
        <w:tc>
          <w:tcPr>
            <w:tcW w:type="dxa" w:w="459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Верхняя граница диапазона 1,05–1,10 для внешних систем с нечёткой спецификацией, таблица 5.</w:t>
            </w:r>
          </w:p>
        </w:tc>
      </w:tr>
      <w:tr>
        <w:trPr>
          <w:cantSplit/>
        </w:trPr>
        <w:tc>
          <w:tcPr>
            <w:tcW w:type="dxa" w:w="323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Правила бонусов заказчика</w:t>
            </w:r>
          </w:p>
        </w:tc>
        <w:tc>
          <w:tcPr>
            <w:tcW w:type="dxa" w:w="158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1,05</w:t>
            </w:r>
          </w:p>
        </w:tc>
        <w:tc>
          <w:tcPr>
            <w:tcW w:type="dxa" w:w="459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Принятая надбавка на уточнение бизнес-правил.</w:t>
            </w:r>
          </w:p>
        </w:tc>
      </w:tr>
      <w:tr>
        <w:trPr>
          <w:cantSplit/>
        </w:trPr>
        <w:tc>
          <w:tcPr>
            <w:tcW w:type="dxa" w:w="323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Правила оффлайн-синхронизации</w:t>
            </w:r>
          </w:p>
        </w:tc>
        <w:tc>
          <w:tcPr>
            <w:tcW w:type="dxa" w:w="158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1,08</w:t>
            </w:r>
          </w:p>
        </w:tc>
        <w:tc>
          <w:tcPr>
            <w:tcW w:type="dxa" w:w="459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Принятая надбавка на уточнение конфликтов при обмене данными.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Общий коэффициент K = 1,10 × 1,05 × 1,08 = 1,2474. В данном расчёте он применяется к разработке, дополнительной документации и управлению. Коэффициенты 1,05 и 1,08 являются учебными оценками неопределённости требований. Внутренние риски квалификации и распределения работы в этот множитель не входят.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Рейтинг риска определяет приоритет действий команды, а рисковый коэффициент — надбавку к оценке трудозатрат. Эти величины имеют разный смысл и не перемножаются.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7. Расчёт себестоимости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Исходная сумма работ: 1 794,00 + 72 + 448,50 = 2 314,50 чел.-ч.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С учётом внешних неопределённостей: 2 314,50 × 1,2474 = 2 887,1073 чел.-ч.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После добавления внедрения: 2 887,1073 + 56 = 2 943,1073 чел.-ч.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2"/>
        <w:gridCol w:w="1361"/>
        <w:gridCol w:w="2098"/>
        <w:gridCol w:w="2211"/>
      </w:tblGrid>
      <w:tr>
        <w:trPr>
          <w:cantSplit/>
          <w:tblHeader/>
        </w:trPr>
        <w:tc>
          <w:tcPr>
            <w:tcW w:type="dxa" w:w="374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Денежные расходы</w:t>
            </w:r>
          </w:p>
        </w:tc>
        <w:tc>
          <w:tcPr>
            <w:tcW w:type="dxa" w:w="136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Количество</w:t>
            </w:r>
          </w:p>
        </w:tc>
        <w:tc>
          <w:tcPr>
            <w:tcW w:type="dxa" w:w="209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Цена, руб.</w:t>
            </w:r>
          </w:p>
        </w:tc>
        <w:tc>
          <w:tcPr>
            <w:tcW w:type="dxa" w:w="221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Сумма, руб.</w:t>
            </w:r>
          </w:p>
        </w:tc>
      </w:tr>
      <w:tr>
        <w:trPr>
          <w:cantSplit/>
        </w:trPr>
        <w:tc>
          <w:tcPr>
            <w:tcW w:type="dxa" w:w="374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Облачный сервер, месяцев</w:t>
            </w:r>
          </w:p>
        </w:tc>
        <w:tc>
          <w:tcPr>
            <w:tcW w:type="dxa" w:w="136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9</w:t>
            </w:r>
          </w:p>
        </w:tc>
        <w:tc>
          <w:tcPr>
            <w:tcW w:type="dxa" w:w="209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2 500,00</w:t>
            </w:r>
          </w:p>
        </w:tc>
        <w:tc>
          <w:tcPr>
            <w:tcW w:type="dxa" w:w="221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22 500,00</w:t>
            </w:r>
          </w:p>
        </w:tc>
      </w:tr>
      <w:tr>
        <w:trPr>
          <w:cantSplit/>
        </w:trPr>
        <w:tc>
          <w:tcPr>
            <w:tcW w:type="dxa" w:w="374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Подготовка тестовой интеграции эквайринга, комплект</w:t>
            </w:r>
          </w:p>
        </w:tc>
        <w:tc>
          <w:tcPr>
            <w:tcW w:type="dxa" w:w="136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1</w:t>
            </w:r>
          </w:p>
        </w:tc>
        <w:tc>
          <w:tcPr>
            <w:tcW w:type="dxa" w:w="209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1 500,00</w:t>
            </w:r>
          </w:p>
        </w:tc>
        <w:tc>
          <w:tcPr>
            <w:tcW w:type="dxa" w:w="221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1 500,00</w:t>
            </w:r>
          </w:p>
        </w:tc>
      </w:tr>
      <w:tr>
        <w:trPr>
          <w:cantSplit/>
        </w:trPr>
        <w:tc>
          <w:tcPr>
            <w:tcW w:type="dxa" w:w="374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Итого</w:t>
            </w:r>
          </w:p>
        </w:tc>
        <w:tc>
          <w:tcPr>
            <w:tcW w:type="dxa" w:w="136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209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221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24 000,00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Условная единая ставка составляет 550 руб./ч. Расход на тестовую интеграцию является учебным резервом и не означает, что провайдер взимает плату за тестовый режим. Тариф сервера также принят для расчёта.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Стоимость труда: 2 943,1073 × 550 = 1 618 709,015 руб. Себестоимость: 1 618 709,015 + 24 000 = 1 642 709,02 руб. Промежуточные значения в Excel сохраняются без округления; до копеек округляется итоговое представление.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8. Срок разработки и потребность в специалистах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По методичке оптимальная продолжительность определяется формулой Боэма T = 2,5 × E^(1/3). E включает разработку, тестирование и дополнительную документацию с учётом рисков, выраженные в человеко-месяцах. Для пересчёта принято 160 рабочих часов в месяц. Управление и внедрение в E не включаются.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E = (1 794 + 72) × 1,2474 / 160 = 14,5478 чел.-мес. Тогда T = 2,5 × E^(1/3) = 6,1029 месяца, или приблизительно 6,10 месяца.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Средняя численность полной занятости определяется по всем работам: N = 2 943,1073 / (160 × T) = 3,0140 специалиста. При округлении вверх требуется 4 человека полной занятости. Значение немного превышает три, поэтому округление до трёх занизило бы потребность.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В исходной команде шесть участников с разными обязанностями. При длительности 6,10 месяца средняя загрузка каждого составляет 50,2 %. При распределении работ на апрель–декабрь она равна 34,1 %. Это средняя оценка: фактическая нагрузка меняется по этапам и ролям.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Расчёт срока относится ко всему проекту от его начала. Он не определяет оставшееся время после текущей даты и не подтверждает выполненные этапы.</w:t>
      </w:r>
    </w:p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9. Итоговые показатели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99"/>
        <w:gridCol w:w="3912"/>
      </w:tblGrid>
      <w:tr>
        <w:trPr>
          <w:cantSplit/>
          <w:tblHeader/>
        </w:trPr>
        <w:tc>
          <w:tcPr>
            <w:tcW w:type="dxa" w:w="549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Показатель</w:t>
            </w:r>
          </w:p>
        </w:tc>
        <w:tc>
          <w:tcPr>
            <w:tcW w:type="dxa" w:w="391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spacing w:line="36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549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Прецеденты</w:t>
            </w:r>
          </w:p>
        </w:tc>
        <w:tc>
          <w:tcPr>
            <w:tcW w:type="dxa" w:w="391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20</w:t>
            </w:r>
          </w:p>
        </w:tc>
      </w:tr>
      <w:tr>
        <w:trPr>
          <w:cantSplit/>
        </w:trPr>
        <w:tc>
          <w:tcPr>
            <w:tcW w:type="dxa" w:w="549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База по нормативам</w:t>
            </w:r>
          </w:p>
        </w:tc>
        <w:tc>
          <w:tcPr>
            <w:tcW w:type="dxa" w:w="391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1 196 чел.-ч</w:t>
            </w:r>
          </w:p>
        </w:tc>
      </w:tr>
      <w:tr>
        <w:trPr>
          <w:cantSplit/>
        </w:trPr>
        <w:tc>
          <w:tcPr>
            <w:tcW w:type="dxa" w:w="549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Разработка и тестирование</w:t>
            </w:r>
          </w:p>
        </w:tc>
        <w:tc>
          <w:tcPr>
            <w:tcW w:type="dxa" w:w="391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1 794 чел.-ч</w:t>
            </w:r>
          </w:p>
        </w:tc>
      </w:tr>
      <w:tr>
        <w:trPr>
          <w:cantSplit/>
        </w:trPr>
        <w:tc>
          <w:tcPr>
            <w:tcW w:type="dxa" w:w="549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Рисковый коэффициент</w:t>
            </w:r>
          </w:p>
        </w:tc>
        <w:tc>
          <w:tcPr>
            <w:tcW w:type="dxa" w:w="391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1,2474</w:t>
            </w:r>
          </w:p>
        </w:tc>
      </w:tr>
      <w:tr>
        <w:trPr>
          <w:cantSplit/>
        </w:trPr>
        <w:tc>
          <w:tcPr>
            <w:tcW w:type="dxa" w:w="549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Полные трудозатраты</w:t>
            </w:r>
          </w:p>
        </w:tc>
        <w:tc>
          <w:tcPr>
            <w:tcW w:type="dxa" w:w="391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2 943,11 чел.-ч</w:t>
            </w:r>
          </w:p>
        </w:tc>
      </w:tr>
      <w:tr>
        <w:trPr>
          <w:cantSplit/>
        </w:trPr>
        <w:tc>
          <w:tcPr>
            <w:tcW w:type="dxa" w:w="549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Расчётная себестоимость</w:t>
            </w:r>
          </w:p>
        </w:tc>
        <w:tc>
          <w:tcPr>
            <w:tcW w:type="dxa" w:w="391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1 642 709,02 руб.</w:t>
            </w:r>
          </w:p>
        </w:tc>
      </w:tr>
      <w:tr>
        <w:trPr>
          <w:cantSplit/>
        </w:trPr>
        <w:tc>
          <w:tcPr>
            <w:tcW w:type="dxa" w:w="549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Срок по формуле Боэма</w:t>
            </w:r>
          </w:p>
        </w:tc>
        <w:tc>
          <w:tcPr>
            <w:tcW w:type="dxa" w:w="391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6,10 мес.</w:t>
            </w:r>
          </w:p>
        </w:tc>
      </w:tr>
      <w:tr>
        <w:trPr>
          <w:cantSplit/>
        </w:trPr>
        <w:tc>
          <w:tcPr>
            <w:tcW w:type="dxa" w:w="549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Средняя потребность</w:t>
            </w:r>
          </w:p>
        </w:tc>
        <w:tc>
          <w:tcPr>
            <w:tcW w:type="dxa" w:w="391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3,0140 специалиста</w:t>
            </w:r>
          </w:p>
        </w:tc>
      </w:tr>
      <w:tr>
        <w:trPr>
          <w:cantSplit/>
        </w:trPr>
        <w:tc>
          <w:tcPr>
            <w:tcW w:type="dxa" w:w="549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Численность после округления вверх</w:t>
            </w:r>
          </w:p>
        </w:tc>
        <w:tc>
          <w:tcPr>
            <w:tcW w:type="dxa" w:w="391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4 человека полной занятости</w:t>
            </w:r>
          </w:p>
        </w:tc>
      </w:tr>
      <w:tr>
        <w:trPr>
          <w:cantSplit/>
        </w:trPr>
        <w:tc>
          <w:tcPr>
            <w:tcW w:type="dxa" w:w="549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Состав исходной команды</w:t>
            </w:r>
          </w:p>
        </w:tc>
        <w:tc>
          <w:tcPr>
            <w:tcW w:type="dxa" w:w="391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60" w:lineRule="auto" w:before="0" w:after="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6 участников</w:t>
            </w:r>
          </w:p>
        </w:tc>
      </w:tr>
    </w:tbl>
    <w:p>
      <w:pPr>
        <w:keepNext/>
        <w:spacing w:line="360" w:lineRule="auto" w:before="240" w:after="120"/>
        <w:jc w:val="both"/>
      </w:pPr>
      <w:r>
        <w:rPr>
          <w:rFonts w:ascii="Times New Roman" w:hAnsi="Times New Roman"/>
          <w:b/>
          <w:sz w:val="28"/>
        </w:rPr>
        <w:t>Вывод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Составлены матрица компромиссов и анализ пяти основных рисков. По 20 прецедентам получено 2 943,11 чел.-ч и 1 642 709,02 руб. Срок по Боэму — 6,10 месяца. Расчёт обновляется в Excel при изменении исходных параметров.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Приложение: «Силантьев К.Д. — ЛР №2 — Расчёты АС БДС.xlsx».</w:t>
      </w:r>
    </w:p>
    <w:sectPr w:rsidR="00FC693F" w:rsidRPr="0006063C" w:rsidSect="00034616">
      <w:pgSz w:w="11906" w:h="16838"/>
      <w:pgMar w:top="1440" w:right="794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 Оценка рисков и себестоимости АС БДС</dc:title>
  <dc:subject/>
  <dc:creator>Силантьев К.Д.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