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95EF0" w14:textId="77777777" w:rsidR="00535ED2" w:rsidRDefault="00DD4EFB" w:rsidP="002B7CAA">
      <w:pPr>
        <w:spacing w:after="100"/>
        <w:jc w:val="center"/>
        <w:rPr>
          <w:b/>
          <w:sz w:val="32"/>
          <w:szCs w:val="32"/>
        </w:rPr>
      </w:pPr>
      <w:r>
        <w:rPr>
          <w:rFonts w:ascii="黑体" w:hAnsi="黑体" w:eastAsia="黑体"/>
          <w:b/>
          <w:color w:val="1F1F1F"/>
          <w:sz w:val="32"/>
        </w:rPr>
        <w:t>项目总结报告</w:t>
      </w:r>
    </w:p>
    <w:p w14:paraId="2FCBE3EC" w14:textId="77777777" w:rsidR="002B7CAA" w:rsidRPr="002B7CAA" w:rsidRDefault="00213715" w:rsidP="002B7CAA">
      <w:pPr>
        <w:spacing w:before="0" w:after="160" w:line="240" w:lineRule="auto"/>
        <w:jc w:val="center"/>
        <w:rPr>
          <w:b/>
          <w:sz w:val="32"/>
          <w:szCs w:val="32"/>
        </w:rPr>
      </w:pPr>
      <w:r>
        <w:rPr>
          <w:rFonts w:ascii="宋体" w:hAnsi="宋体" w:eastAsia="宋体"/>
          <w:color w:val="1F1F1F"/>
          <w:sz w:val="21"/>
        </w:rPr>
        <w:t>日期：2026年7月29日</w:t>
      </w:r>
    </w:p>
    <w:tbl>
      <w:tblPr>
        <w:tblW w:w="89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24"/>
        <w:gridCol w:w="1411"/>
        <w:gridCol w:w="1843"/>
        <w:gridCol w:w="4348"/>
      </w:tblGrid>
      <w:tr w:rsidR="001C0B35" w:rsidRPr="008C214A" w14:paraId="767E2557" w14:textId="77777777" w:rsidTr="008C214A">
        <w:tc>
          <w:tcPr>
            <w:tcW w:w="1325" w:type="dxa"/>
            <w:shd w:val="clear" w:color="auto" w:fill="E7E6E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黑体" w:hAnsi="黑体" w:eastAsia="黑体"/>
                <w:b/>
                <w:color w:val="1F1F1F"/>
                <w:sz w:val="20"/>
              </w:rPr>
              <w:t>组号</w:t>
            </w:r>
          </w:p>
        </w:tc>
        <w:tc>
          <w:tcPr>
            <w:tcW w:w="1411" w:type="dxa"/>
            <w:shd w:val="clear" w:color="auto" w:fill="auto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F1F1F"/>
                <w:sz w:val="20"/>
              </w:rPr>
              <w:t>第6组</w:t>
            </w:r>
          </w:p>
        </w:tc>
        <w:tc>
          <w:tcPr>
            <w:tcW w:w="1843" w:type="dxa"/>
            <w:shd w:val="clear" w:color="auto" w:fill="E7E6E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黑体" w:hAnsi="黑体" w:eastAsia="黑体"/>
                <w:b/>
                <w:color w:val="1F1F1F"/>
                <w:sz w:val="20"/>
              </w:rPr>
              <w:t>项目名称</w:t>
            </w:r>
          </w:p>
        </w:tc>
        <w:tc>
          <w:tcPr>
            <w:tcW w:w="4349" w:type="dxa"/>
            <w:shd w:val="clear" w:color="auto" w:fill="auto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IssueScope - GitHub仓库问答与Issue分析系统</w:t>
            </w:r>
          </w:p>
        </w:tc>
      </w:tr>
      <w:tr w:rsidR="007F221A" w:rsidRPr="008C214A" w14:paraId="3A62398C" w14:textId="77777777" w:rsidTr="007F221A">
        <w:tc>
          <w:tcPr>
            <w:tcW w:w="1325" w:type="dxa"/>
            <w:shd w:val="clear" w:color="auto" w:fill="E7E6E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黑体" w:hAnsi="黑体" w:eastAsia="黑体"/>
                <w:b/>
                <w:color w:val="1F1F1F"/>
                <w:sz w:val="20"/>
              </w:rPr>
              <w:t>编程语言</w:t>
            </w:r>
          </w:p>
        </w:tc>
        <w:tc>
          <w:tcPr>
            <w:tcW w:w="1411" w:type="dxa"/>
            <w:shd w:val="clear" w:color="auto" w:fill="auto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F1F1F"/>
                <w:sz w:val="20"/>
              </w:rPr>
              <w:t>Python、TypeScript</w:t>
            </w:r>
          </w:p>
        </w:tc>
        <w:tc>
          <w:tcPr>
            <w:tcW w:w="1843" w:type="dxa"/>
            <w:shd w:val="clear" w:color="auto" w:fill="E7E6E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黑体" w:hAnsi="黑体" w:eastAsia="黑体"/>
                <w:b/>
                <w:color w:val="1F1F1F"/>
                <w:sz w:val="20"/>
              </w:rPr>
              <w:t>开发平台和框架</w:t>
            </w:r>
          </w:p>
        </w:tc>
        <w:tc>
          <w:tcPr>
            <w:tcW w:w="4349" w:type="dxa"/>
            <w:shd w:val="clear" w:color="auto" w:fill="auto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F1F1F"/>
                <w:sz w:val="19"/>
              </w:rPr>
              <w:t>FastAPI、React、Vite、PostgreSQL、pgvector、SQLAlchemy、OpenAI SDK、XYFlow</w:t>
            </w:r>
          </w:p>
        </w:tc>
      </w:tr>
    </w:tbl>
    <w:p w14:paraId="65468B32" w14:textId="77777777" w:rsidR="008C214A" w:rsidRPr="008C214A" w:rsidRDefault="008C214A" w:rsidP="008C214A">
      <w:pPr>
        <w:spacing w:before="280" w:after="0" w:line="348" w:lineRule="auto"/>
        <w:jc w:val="both"/>
        <w:rPr>
          <w:vanish/>
        </w:rPr>
      </w:pPr>
      <w:r>
        <w:rPr>
          <w:rFonts w:ascii="宋体" w:hAnsi="宋体" w:eastAsia="宋体"/>
          <w:color w:val="1F1F1F"/>
          <w:sz w:val="21"/>
        </w:rPr>
        <w:t>项目概述：IssueScope 面向开源项目维护者和开发团队，将 GitHub 仓库接入、非 AI 项目解析、证据式仓库问答和 Issue 智能处理放在同一仓库上下文中。系统使用 PostgreSQL 与 pgvector 保存仓库数据和知识片段，并通过受控工具调用连接模型与 GitHub。</w:t>
        <w:br w:type="page"/>
      </w:r>
    </w:p>
    <w:tbl>
      <w:tblPr>
        <w:tblW w:w="89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28"/>
      </w:tblGrid>
      <w:tr w:rsidR="00582955" w:rsidRPr="00582955" w14:paraId="513CF6C2" w14:textId="77777777" w:rsidTr="00582955">
        <w:trPr>
          <w:cantSplit/>
        </w:trPr>
        <w:tc>
          <w:tcPr>
            <w:tcW w:w="8928" w:type="dxa"/>
            <w:tcMar>
              <w:top w:w="170" w:type="dxa"/>
              <w:start w:w="180" w:type="dxa"/>
              <w:bottom w:w="170" w:type="dxa"/>
              <w:end w:w="180" w:type="dxa"/>
            </w:tcMar>
          </w:tcPr>
          <w:p>
            <w:pPr>
              <w:keepNext/>
              <w:shd w:fill="E7E6E6"/>
              <w:spacing w:before="0" w:after="120" w:line="288" w:lineRule="auto"/>
              <w:jc w:val="center"/>
            </w:pPr>
            <w:r>
              <w:rPr>
                <w:rFonts w:ascii="黑体" w:hAnsi="黑体" w:eastAsia="黑体"/>
                <w:b/>
                <w:color w:val="1F1F1F"/>
                <w:sz w:val="23"/>
              </w:rPr>
              <w:t>项目工作小结</w:t>
            </w:r>
          </w:p>
          <w:p>
            <w:pPr>
              <w:spacing w:before="0" w:after="120" w:line="324" w:lineRule="auto"/>
              <w:jc w:val="both"/>
            </w:pPr>
            <w:r>
              <w:rPr>
                <w:rFonts w:ascii="宋体" w:hAnsi="宋体" w:eastAsia="宋体"/>
                <w:color w:val="1F1F1F"/>
                <w:sz w:val="21"/>
              </w:rPr>
              <w:t>项目围绕开源仓库维护中的“接入、理解、问答和处理”四个环节展开。三个迭代中，先确定需求和界面，再打通技术链路，最后补齐测试、文档和验收流程。</w:t>
            </w:r>
          </w:p>
          <w:p>
            <w:pPr>
              <w:keepNext/>
              <w:spacing w:before="160" w:after="80" w:line="276" w:lineRule="auto"/>
            </w:pPr>
            <w:r>
              <w:rPr>
                <w:rFonts w:ascii="黑体" w:hAnsi="黑体" w:eastAsia="黑体"/>
                <w:b/>
                <w:color w:val="1F1F1F"/>
                <w:sz w:val="23"/>
              </w:rPr>
              <w:t>1．项目实现了哪些功能？</w:t>
            </w:r>
          </w:p>
          <w:p>
            <w:pPr>
              <w:numPr>
                <w:ilvl w:val="0"/>
                <w:numId w:val="20"/>
              </w:numPr>
              <w:spacing w:before="0" w:after="60" w:line="307" w:lineRule="auto"/>
            </w:pPr>
            <w:r>
              <w:rPr>
                <w:rFonts w:ascii="宋体" w:hAnsi="宋体" w:eastAsia="宋体"/>
                <w:b/>
                <w:color w:val="1F1F1F"/>
                <w:sz w:val="21"/>
              </w:rPr>
              <w:t>仓库接入与管理：</w:t>
            </w:r>
            <w:r>
              <w:rPr>
                <w:rFonts w:ascii="宋体" w:hAnsi="宋体" w:eastAsia="宋体"/>
                <w:color w:val="1F1F1F"/>
                <w:sz w:val="21"/>
              </w:rPr>
              <w:t>支持输入 GitHub 仓库地址，同步仓库元信息、README、目录树、源码、Issue、Pull Request、提交记录和语言统计；可在多个已同步仓库之间切换。</w:t>
            </w:r>
          </w:p>
          <w:p>
            <w:pPr>
              <w:numPr>
                <w:ilvl w:val="0"/>
                <w:numId w:val="20"/>
              </w:numPr>
              <w:spacing w:before="0" w:after="60" w:line="307" w:lineRule="auto"/>
            </w:pPr>
            <w:r>
              <w:rPr>
                <w:rFonts w:ascii="宋体" w:hAnsi="宋体" w:eastAsia="宋体"/>
                <w:b/>
                <w:color w:val="1F1F1F"/>
                <w:sz w:val="21"/>
              </w:rPr>
              <w:t>用户与配置：</w:t>
            </w:r>
            <w:r>
              <w:rPr>
                <w:rFonts w:ascii="宋体" w:hAnsi="宋体" w:eastAsia="宋体"/>
                <w:color w:val="1F1F1F"/>
                <w:sz w:val="21"/>
              </w:rPr>
              <w:t>提供注册、登录和用户配置管理。GitHub Token、模型地址、模型 Key 和 Webhook Secret 按用户隔离保存，前端只显示是否已配置，不回显明文。</w:t>
            </w:r>
          </w:p>
          <w:p>
            <w:pPr>
              <w:numPr>
                <w:ilvl w:val="0"/>
                <w:numId w:val="20"/>
              </w:numPr>
              <w:spacing w:before="0" w:after="60" w:line="307" w:lineRule="auto"/>
            </w:pPr>
            <w:r>
              <w:rPr>
                <w:rFonts w:ascii="宋体" w:hAnsi="宋体" w:eastAsia="宋体"/>
                <w:b/>
                <w:color w:val="1F1F1F"/>
                <w:sz w:val="21"/>
              </w:rPr>
              <w:t>项目结构解析：</w:t>
            </w:r>
            <w:r>
              <w:rPr>
                <w:rFonts w:ascii="宋体" w:hAnsi="宋体" w:eastAsia="宋体"/>
                <w:color w:val="1F1F1F"/>
                <w:sz w:val="21"/>
              </w:rPr>
              <w:t>不依赖大模型，根据目录、文件类型、依赖清单、入口文件、测试、文档和 CI/CD 配置生成项目概览；可进一步查看交互式架构图、源码语义关系、变更影响、建议回归测试和版本演化。</w:t>
            </w:r>
          </w:p>
          <w:p>
            <w:pPr>
              <w:numPr>
                <w:ilvl w:val="0"/>
                <w:numId w:val="20"/>
              </w:numPr>
              <w:spacing w:before="0" w:after="60" w:line="307" w:lineRule="auto"/>
            </w:pPr>
            <w:r>
              <w:rPr>
                <w:rFonts w:ascii="宋体" w:hAnsi="宋体" w:eastAsia="宋体"/>
                <w:b/>
                <w:color w:val="1F1F1F"/>
                <w:sz w:val="21"/>
              </w:rPr>
              <w:t>仓库智能问答：</w:t>
            </w:r>
            <w:r>
              <w:rPr>
                <w:rFonts w:ascii="宋体" w:hAnsi="宋体" w:eastAsia="宋体"/>
                <w:color w:val="1F1F1F"/>
                <w:sz w:val="21"/>
              </w:rPr>
              <w:t>通过工具式 Agent 回答 What、Where、How 等问题。Agent 可调用项目概览、文件搜索、源码读取、Issue 查询和向量检索工具，并在回答中保留工具调用记录和文件引用。</w:t>
            </w:r>
          </w:p>
          <w:p>
            <w:pPr>
              <w:numPr>
                <w:ilvl w:val="0"/>
                <w:numId w:val="20"/>
              </w:numPr>
              <w:spacing w:before="0" w:after="60" w:line="307" w:lineRule="auto"/>
            </w:pPr>
            <w:r>
              <w:rPr>
                <w:rFonts w:ascii="宋体" w:hAnsi="宋体" w:eastAsia="宋体"/>
                <w:b/>
                <w:color w:val="1F1F1F"/>
                <w:sz w:val="21"/>
              </w:rPr>
              <w:t>Issue 智能分析：</w:t>
            </w:r>
            <w:r>
              <w:rPr>
                <w:rFonts w:ascii="宋体" w:hAnsi="宋体" w:eastAsia="宋体"/>
                <w:color w:val="1F1F1F"/>
                <w:sz w:val="21"/>
              </w:rPr>
              <w:t>接收手动分析请求和 GitHub Webhook 事件，识别缺陷、功能请求、使用咨询、重复问题、信息不足等类型，返回分类结果、置信度、理由和建议动作。</w:t>
            </w:r>
          </w:p>
          <w:p>
            <w:pPr>
              <w:numPr>
                <w:ilvl w:val="0"/>
                <w:numId w:val="20"/>
              </w:numPr>
              <w:spacing w:before="0" w:after="60" w:line="307" w:lineRule="auto"/>
            </w:pPr>
            <w:r>
              <w:rPr>
                <w:rFonts w:ascii="宋体" w:hAnsi="宋体" w:eastAsia="宋体"/>
                <w:b/>
                <w:color w:val="1F1F1F"/>
                <w:sz w:val="21"/>
              </w:rPr>
              <w:t>回复与 FAQ：</w:t>
            </w:r>
            <w:r>
              <w:rPr>
                <w:rFonts w:ascii="宋体" w:hAnsi="宋体" w:eastAsia="宋体"/>
                <w:color w:val="1F1F1F"/>
                <w:sz w:val="21"/>
              </w:rPr>
              <w:t>对无需修改代码的 Issue 生成可审核回复；FAQ 知识库支持增删改查，并能从已有 Issue 中形成 FAQ 候选，减少重复问题。</w:t>
            </w:r>
          </w:p>
          <w:p>
            <w:pPr>
              <w:numPr>
                <w:ilvl w:val="0"/>
                <w:numId w:val="20"/>
              </w:numPr>
              <w:spacing w:before="0" w:after="60" w:line="307" w:lineRule="auto"/>
            </w:pPr>
            <w:r>
              <w:rPr>
                <w:rFonts w:ascii="宋体" w:hAnsi="宋体" w:eastAsia="宋体"/>
                <w:b/>
                <w:color w:val="1F1F1F"/>
                <w:sz w:val="21"/>
              </w:rPr>
              <w:t>自动修复原型：</w:t>
            </w:r>
            <w:r>
              <w:rPr>
                <w:rFonts w:ascii="宋体" w:hAnsi="宋体" w:eastAsia="宋体"/>
                <w:color w:val="1F1F1F"/>
                <w:sz w:val="21"/>
              </w:rPr>
              <w:t>对明确的缺陷 Issue 定位相关文件、生成修改方案，在独立分支提交变更并发起 Pull Request，主分支保持不变，最终操作仍由维护者确认。</w:t>
            </w:r>
          </w:p>
          <w:p>
            <w:pPr>
              <w:numPr>
                <w:ilvl w:val="0"/>
                <w:numId w:val="20"/>
              </w:numPr>
              <w:spacing w:before="0" w:after="60" w:line="307" w:lineRule="auto"/>
            </w:pPr>
            <w:r>
              <w:rPr>
                <w:rFonts w:ascii="宋体" w:hAnsi="宋体" w:eastAsia="宋体"/>
                <w:b/>
                <w:color w:val="1F1F1F"/>
                <w:sz w:val="21"/>
              </w:rPr>
              <w:t>持久化与知识检索：</w:t>
            </w:r>
            <w:r>
              <w:rPr>
                <w:rFonts w:ascii="宋体" w:hAnsi="宋体" w:eastAsia="宋体"/>
                <w:color w:val="1F1F1F"/>
                <w:sz w:val="21"/>
              </w:rPr>
              <w:t>使用 PostgreSQL 保存仓库快照、源码、Issue、PR、提交、FAQ 和处理记录；源码知识片段通过 pgvector 提供 RAG 检索，未配置数据库时可回退到内存存储。</w:t>
            </w:r>
          </w:p>
        </w:tc>
      </w:tr>
      <w:tr>
        <w:tc>
          <w:tcPr>
            <w:tcW w:type="dxa" w:w="8928"/>
            <w:tcMar>
              <w:top w:w="150" w:type="dxa"/>
              <w:start w:w="180" w:type="dxa"/>
              <w:bottom w:w="150" w:type="dxa"/>
              <w:end w:w="180" w:type="dxa"/>
            </w:tcMar>
          </w:tcPr>
          <w:p/>
          <w:p>
            <w:pPr>
              <w:keepNext/>
              <w:spacing w:before="160" w:after="80" w:line="276" w:lineRule="auto"/>
            </w:pPr>
            <w:r>
              <w:rPr>
                <w:rFonts w:ascii="黑体" w:hAnsi="黑体" w:eastAsia="黑体"/>
                <w:b/>
                <w:color w:val="1F1F1F"/>
                <w:sz w:val="23"/>
              </w:rPr>
              <w:t>2．项目实现了哪些非功能需求？</w:t>
            </w:r>
          </w:p>
          <w:p>
            <w:pPr>
              <w:numPr>
                <w:ilvl w:val="0"/>
                <w:numId w:val="20"/>
              </w:numPr>
              <w:spacing w:before="0" w:after="60" w:line="307" w:lineRule="auto"/>
            </w:pPr>
            <w:r>
              <w:rPr>
                <w:rFonts w:ascii="宋体" w:hAnsi="宋体" w:eastAsia="宋体"/>
                <w:b/>
                <w:color w:val="1F1F1F"/>
                <w:sz w:val="21"/>
              </w:rPr>
              <w:t>浏览器与适配：</w:t>
            </w:r>
            <w:r>
              <w:rPr>
                <w:rFonts w:ascii="宋体" w:hAnsi="宋体" w:eastAsia="宋体"/>
                <w:color w:val="1F1F1F"/>
                <w:sz w:val="21"/>
              </w:rPr>
              <w:t>客户端为 React Web 应用，覆盖桌面、平板和窄屏布局；仓库概览、项目解析、Issue、问答和配置页面在常用浏览器中均可操作。</w:t>
            </w:r>
          </w:p>
          <w:p>
            <w:pPr>
              <w:numPr>
                <w:ilvl w:val="0"/>
                <w:numId w:val="20"/>
              </w:numPr>
              <w:spacing w:before="0" w:after="60" w:line="307" w:lineRule="auto"/>
            </w:pPr>
            <w:r>
              <w:rPr>
                <w:rFonts w:ascii="宋体" w:hAnsi="宋体" w:eastAsia="宋体"/>
                <w:b/>
                <w:color w:val="1F1F1F"/>
                <w:sz w:val="21"/>
              </w:rPr>
              <w:t>并发处理：</w:t>
            </w:r>
            <w:r>
              <w:rPr>
                <w:rFonts w:ascii="宋体" w:hAnsi="宋体" w:eastAsia="宋体"/>
                <w:color w:val="1F1F1F"/>
                <w:sz w:val="21"/>
              </w:rPr>
              <w:t>后端使用 FastAPI 异步接口。Webhook 并发测试验证事件不丢失、重复 delivery id 保持幂等；多仓库并发同步时数据按仓库隔离。</w:t>
            </w:r>
          </w:p>
          <w:p>
            <w:pPr>
              <w:numPr>
                <w:ilvl w:val="0"/>
                <w:numId w:val="20"/>
              </w:numPr>
              <w:spacing w:before="0" w:after="60" w:line="307" w:lineRule="auto"/>
            </w:pPr>
            <w:r>
              <w:rPr>
                <w:rFonts w:ascii="宋体" w:hAnsi="宋体" w:eastAsia="宋体"/>
                <w:b/>
                <w:color w:val="1F1F1F"/>
                <w:sz w:val="21"/>
              </w:rPr>
              <w:t>可靠性：</w:t>
            </w:r>
            <w:r>
              <w:rPr>
                <w:rFonts w:ascii="宋体" w:hAnsi="宋体" w:eastAsia="宋体"/>
                <w:color w:val="1F1F1F"/>
                <w:sz w:val="21"/>
              </w:rPr>
              <w:t>GitHub、LLM 和数据库调用均有错误返回或降级路径；模型不可用时不会影响规则解析，Webhook 自动回复失败也不会回滚已经完成的事件记录和分类。</w:t>
            </w:r>
          </w:p>
          <w:p>
            <w:pPr>
              <w:numPr>
                <w:ilvl w:val="0"/>
                <w:numId w:val="20"/>
              </w:numPr>
              <w:spacing w:before="0" w:after="60" w:line="307" w:lineRule="auto"/>
            </w:pPr>
            <w:r>
              <w:rPr>
                <w:rFonts w:ascii="宋体" w:hAnsi="宋体" w:eastAsia="宋体"/>
                <w:b/>
                <w:color w:val="1F1F1F"/>
                <w:sz w:val="21"/>
              </w:rPr>
              <w:t>安全性：</w:t>
            </w:r>
            <w:r>
              <w:rPr>
                <w:rFonts w:ascii="宋体" w:hAnsi="宋体" w:eastAsia="宋体"/>
                <w:color w:val="1F1F1F"/>
                <w:sz w:val="21"/>
              </w:rPr>
              <w:t>Webhook 使用 HMAC 签名验证；Token 和 Key 不写入日志、不提交仓库；自动修复只写新分支并发起 PR，不直接改主分支。</w:t>
            </w:r>
          </w:p>
          <w:p>
            <w:pPr>
              <w:numPr>
                <w:ilvl w:val="0"/>
                <w:numId w:val="20"/>
              </w:numPr>
              <w:spacing w:before="0" w:after="60" w:line="307" w:lineRule="auto"/>
            </w:pPr>
            <w:r>
              <w:rPr>
                <w:rFonts w:ascii="宋体" w:hAnsi="宋体" w:eastAsia="宋体"/>
                <w:b/>
                <w:color w:val="1F1F1F"/>
                <w:sz w:val="21"/>
              </w:rPr>
              <w:t>可维护性：</w:t>
            </w:r>
            <w:r>
              <w:rPr>
                <w:rFonts w:ascii="宋体" w:hAnsi="宋体" w:eastAsia="宋体"/>
                <w:color w:val="1F1F1F"/>
                <w:sz w:val="21"/>
              </w:rPr>
              <w:t>前后端分离，后端按 API、应用服务、Agent、存储适配和外部服务分层；仓库存储、Issue 分类和工具调用均通过稳定接口隔离具体实现。</w:t>
            </w:r>
          </w:p>
          <w:p>
            <w:pPr>
              <w:numPr>
                <w:ilvl w:val="0"/>
                <w:numId w:val="20"/>
              </w:numPr>
              <w:spacing w:before="0" w:after="60" w:line="307" w:lineRule="auto"/>
            </w:pPr>
            <w:r>
              <w:rPr>
                <w:rFonts w:ascii="宋体" w:hAnsi="宋体" w:eastAsia="宋体"/>
                <w:b/>
                <w:color w:val="1F1F1F"/>
                <w:sz w:val="21"/>
              </w:rPr>
              <w:t>可追溯性：</w:t>
            </w:r>
            <w:r>
              <w:rPr>
                <w:rFonts w:ascii="宋体" w:hAnsi="宋体" w:eastAsia="宋体"/>
                <w:color w:val="1F1F1F"/>
                <w:sz w:val="21"/>
              </w:rPr>
              <w:t>问答结果保留引用，Webhook 保存事件编号和处理状态，架构分析节点可定位到真实文件，测试报告保留执行结果和覆盖率。</w:t>
            </w:r>
          </w:p>
          <w:p>
            <w:pPr>
              <w:keepNext/>
              <w:spacing w:before="160" w:after="80" w:line="276" w:lineRule="auto"/>
            </w:pPr>
            <w:r>
              <w:rPr>
                <w:rFonts w:ascii="黑体" w:hAnsi="黑体" w:eastAsia="黑体"/>
                <w:b/>
                <w:color w:val="1F1F1F"/>
                <w:sz w:val="23"/>
              </w:rPr>
              <w:t>3．项目的特点和亮点</w:t>
            </w:r>
          </w:p>
          <w:p>
            <w:pPr>
              <w:numPr>
                <w:ilvl w:val="0"/>
                <w:numId w:val="20"/>
              </w:numPr>
              <w:spacing w:before="0" w:after="60" w:line="307" w:lineRule="auto"/>
            </w:pPr>
            <w:r>
              <w:rPr>
                <w:rFonts w:ascii="宋体" w:hAnsi="宋体" w:eastAsia="宋体"/>
                <w:b/>
                <w:color w:val="1F1F1F"/>
                <w:sz w:val="21"/>
              </w:rPr>
              <w:t>围绕同一仓库上下文组织功能：</w:t>
            </w:r>
            <w:r>
              <w:rPr>
                <w:rFonts w:ascii="宋体" w:hAnsi="宋体" w:eastAsia="宋体"/>
                <w:color w:val="1F1F1F"/>
                <w:sz w:val="21"/>
              </w:rPr>
              <w:t>仓库同步只做一次，项目解析、问答、Issue 分析、FAQ 和自动修复继续使用同一份仓库快照，减少模块之间各自抓取和解释数据的问题。</w:t>
            </w:r>
          </w:p>
          <w:p>
            <w:pPr>
              <w:numPr>
                <w:ilvl w:val="0"/>
                <w:numId w:val="20"/>
              </w:numPr>
              <w:spacing w:before="0" w:after="60" w:line="307" w:lineRule="auto"/>
            </w:pPr>
            <w:r>
              <w:rPr>
                <w:rFonts w:ascii="宋体" w:hAnsi="宋体" w:eastAsia="宋体"/>
                <w:b/>
                <w:color w:val="1F1F1F"/>
                <w:sz w:val="21"/>
              </w:rPr>
              <w:t>规则分析与大模型分工明确：</w:t>
            </w:r>
            <w:r>
              <w:rPr>
                <w:rFonts w:ascii="宋体" w:hAnsi="宋体" w:eastAsia="宋体"/>
                <w:color w:val="1F1F1F"/>
                <w:sz w:val="21"/>
              </w:rPr>
              <w:t>目录、依赖、入口、调用关系和影响范围采用可复现的规则解析；开放式问答、回复和修复方案再由大模型处理。这样既保留解释性，也发挥模型处理自然语言的能力。</w:t>
            </w:r>
          </w:p>
          <w:p>
            <w:pPr>
              <w:numPr>
                <w:ilvl w:val="0"/>
                <w:numId w:val="20"/>
              </w:numPr>
              <w:spacing w:before="0" w:after="60" w:line="307" w:lineRule="auto"/>
            </w:pPr>
            <w:r>
              <w:rPr>
                <w:rFonts w:ascii="宋体" w:hAnsi="宋体" w:eastAsia="宋体"/>
                <w:b/>
                <w:color w:val="1F1F1F"/>
                <w:sz w:val="21"/>
              </w:rPr>
              <w:t>回答有依据：</w:t>
            </w:r>
            <w:r>
              <w:rPr>
                <w:rFonts w:ascii="宋体" w:hAnsi="宋体" w:eastAsia="宋体"/>
                <w:color w:val="1F1F1F"/>
                <w:sz w:val="21"/>
              </w:rPr>
              <w:t>RAG 从 pgvector 检索仓库知识片段，Agent 通过受控工具读取源码和 Issue。回答中的文件引用可以继续打开源码，避免只给出一段无法核对的结论。</w:t>
            </w:r>
          </w:p>
          <w:p>
            <w:pPr>
              <w:numPr>
                <w:ilvl w:val="0"/>
                <w:numId w:val="20"/>
              </w:numPr>
              <w:spacing w:before="0" w:after="60" w:line="307" w:lineRule="auto"/>
            </w:pPr>
            <w:r>
              <w:rPr>
                <w:rFonts w:ascii="宋体" w:hAnsi="宋体" w:eastAsia="宋体"/>
                <w:b/>
                <w:color w:val="1F1F1F"/>
                <w:sz w:val="21"/>
              </w:rPr>
              <w:t>架构设计可替换：</w:t>
            </w:r>
            <w:r>
              <w:rPr>
                <w:rFonts w:ascii="宋体" w:hAnsi="宋体" w:eastAsia="宋体"/>
                <w:color w:val="1F1F1F"/>
                <w:sz w:val="21"/>
              </w:rPr>
              <w:t>RepositoryStore 将内存与 PostgreSQL 隔离，Issue 分类使用策略模式组织模型策略和规则降级，GitHub、LLM、向量检索等外部能力通过适配接口接入。</w:t>
            </w:r>
          </w:p>
          <w:p>
            <w:pPr>
              <w:numPr>
                <w:ilvl w:val="0"/>
                <w:numId w:val="20"/>
              </w:numPr>
              <w:spacing w:before="0" w:after="60" w:line="307" w:lineRule="auto"/>
            </w:pPr>
            <w:r>
              <w:rPr>
                <w:rFonts w:ascii="宋体" w:hAnsi="宋体" w:eastAsia="宋体"/>
                <w:b/>
                <w:color w:val="1F1F1F"/>
                <w:sz w:val="21"/>
              </w:rPr>
              <w:t>项目解析可视化：</w:t>
            </w:r>
            <w:r>
              <w:rPr>
                <w:rFonts w:ascii="宋体" w:hAnsi="宋体" w:eastAsia="宋体"/>
                <w:color w:val="1F1F1F"/>
                <w:sz w:val="21"/>
              </w:rPr>
              <w:t>在常规目录统计之外，增加可缩放、折叠和定位的仓库架构图，并提供源码关系、变更影响、健康度和版本演化视图，方便维护者快速建立整体认识。</w:t>
            </w:r>
          </w:p>
          <w:p>
            <w:pPr>
              <w:numPr>
                <w:ilvl w:val="0"/>
                <w:numId w:val="20"/>
              </w:numPr>
              <w:spacing w:before="0" w:after="60" w:line="307" w:lineRule="auto"/>
            </w:pPr>
            <w:r>
              <w:rPr>
                <w:rFonts w:ascii="宋体" w:hAnsi="宋体" w:eastAsia="宋体"/>
                <w:b/>
                <w:color w:val="1F1F1F"/>
                <w:sz w:val="21"/>
              </w:rPr>
              <w:t>面向真实维护流程：</w:t>
            </w:r>
            <w:r>
              <w:rPr>
                <w:rFonts w:ascii="宋体" w:hAnsi="宋体" w:eastAsia="宋体"/>
                <w:color w:val="1F1F1F"/>
                <w:sz w:val="21"/>
              </w:rPr>
              <w:t>系统不是独立的聊天页面，而是接入 GitHub API、Webhook、分支和 Pull Request，把仓库理解、Issue 判断和后续操作串成完整流程。</w:t>
            </w:r>
          </w:p>
        </w:tc>
      </w:tr>
      <w:tr>
        <w:tc>
          <w:tcPr>
            <w:tcW w:type="dxa" w:w="8928"/>
            <w:tcMar>
              <w:top w:w="150" w:type="dxa"/>
              <w:start w:w="180" w:type="dxa"/>
              <w:bottom w:w="150" w:type="dxa"/>
              <w:end w:w="180" w:type="dxa"/>
            </w:tcMar>
          </w:tcPr>
          <w:p/>
          <w:p>
            <w:pPr>
              <w:keepNext/>
              <w:spacing w:before="160" w:after="80" w:line="276" w:lineRule="auto"/>
            </w:pPr>
            <w:r>
              <w:rPr>
                <w:rFonts w:ascii="黑体" w:hAnsi="黑体" w:eastAsia="黑体"/>
                <w:b/>
                <w:color w:val="1F1F1F"/>
                <w:sz w:val="23"/>
              </w:rPr>
              <w:t>4．项目的质量控制情况</w:t>
            </w:r>
          </w:p>
          <w:p>
            <w:pPr>
              <w:numPr>
                <w:ilvl w:val="0"/>
                <w:numId w:val="20"/>
              </w:numPr>
              <w:spacing w:before="0" w:after="60" w:line="307" w:lineRule="auto"/>
            </w:pPr>
            <w:r>
              <w:rPr>
                <w:rFonts w:ascii="宋体" w:hAnsi="宋体" w:eastAsia="宋体"/>
                <w:b/>
                <w:color w:val="1F1F1F"/>
                <w:sz w:val="21"/>
              </w:rPr>
              <w:t>评审：</w:t>
            </w:r>
            <w:r>
              <w:rPr>
                <w:rFonts w:ascii="宋体" w:hAnsi="宋体" w:eastAsia="宋体"/>
                <w:color w:val="1F1F1F"/>
                <w:sz w:val="21"/>
              </w:rPr>
              <w:t>每个迭代均进行组内需求、界面、架构和代码检查。Use-Case 模型、接口命名、数据库字段和页面状态在集成前统一，发现与实际代码不一致的文档会随迭代修订。</w:t>
            </w:r>
          </w:p>
          <w:p>
            <w:pPr>
              <w:numPr>
                <w:ilvl w:val="0"/>
                <w:numId w:val="20"/>
              </w:numPr>
              <w:spacing w:before="0" w:after="60" w:line="307" w:lineRule="auto"/>
            </w:pPr>
            <w:r>
              <w:rPr>
                <w:rFonts w:ascii="宋体" w:hAnsi="宋体" w:eastAsia="宋体"/>
                <w:b/>
                <w:color w:val="1F1F1F"/>
                <w:sz w:val="21"/>
              </w:rPr>
              <w:t>单元与回归测试：</w:t>
            </w:r>
            <w:r>
              <w:rPr>
                <w:rFonts w:ascii="宋体" w:hAnsi="宋体" w:eastAsia="宋体"/>
                <w:color w:val="1F1F1F"/>
                <w:sz w:val="21"/>
              </w:rPr>
              <w:t>后端基础自动化检查 171 项通过，真实数据库与模型集成补测 5 项通过，共 176 项无失败；前端 Vitest 4 项通过，静态检查和生产构建均通过。</w:t>
            </w:r>
          </w:p>
          <w:p>
            <w:pPr>
              <w:numPr>
                <w:ilvl w:val="0"/>
                <w:numId w:val="20"/>
              </w:numPr>
              <w:spacing w:before="0" w:after="60" w:line="307" w:lineRule="auto"/>
            </w:pPr>
            <w:r>
              <w:rPr>
                <w:rFonts w:ascii="宋体" w:hAnsi="宋体" w:eastAsia="宋体"/>
                <w:b/>
                <w:color w:val="1F1F1F"/>
                <w:sz w:val="21"/>
              </w:rPr>
              <w:t>覆盖率：</w:t>
            </w:r>
            <w:r>
              <w:rPr>
                <w:rFonts w:ascii="宋体" w:hAnsi="宋体" w:eastAsia="宋体"/>
                <w:color w:val="1F1F1F"/>
                <w:sz w:val="21"/>
              </w:rPr>
              <w:t>Issue 分类核心模块单元测试 16 项全部通过，语句覆盖率为 97.47%，高于课程要求的 90%，并生成 JUnit、HTML 和 XML 报告。</w:t>
            </w:r>
          </w:p>
          <w:p>
            <w:pPr>
              <w:numPr>
                <w:ilvl w:val="0"/>
                <w:numId w:val="20"/>
              </w:numPr>
              <w:spacing w:before="0" w:after="60" w:line="307" w:lineRule="auto"/>
            </w:pPr>
            <w:r>
              <w:rPr>
                <w:rFonts w:ascii="宋体" w:hAnsi="宋体" w:eastAsia="宋体"/>
                <w:b/>
                <w:color w:val="1F1F1F"/>
                <w:sz w:val="21"/>
              </w:rPr>
              <w:t>系统测试：</w:t>
            </w:r>
            <w:r>
              <w:rPr>
                <w:rFonts w:ascii="宋体" w:hAnsi="宋体" w:eastAsia="宋体"/>
                <w:color w:val="1F1F1F"/>
                <w:sz w:val="21"/>
              </w:rPr>
              <w:t>完成 37 条系统测试用例，覆盖功能基本流与备选流、易用性、兼容性和性能检查，全部通过；测试中包含真实仓库同步、真实模型问答、Webhook 投递和自动修复 PR 演练。</w:t>
            </w:r>
          </w:p>
          <w:p>
            <w:pPr>
              <w:numPr>
                <w:ilvl w:val="0"/>
                <w:numId w:val="20"/>
              </w:numPr>
              <w:spacing w:before="0" w:after="60" w:line="307" w:lineRule="auto"/>
            </w:pPr>
            <w:r>
              <w:rPr>
                <w:rFonts w:ascii="宋体" w:hAnsi="宋体" w:eastAsia="宋体"/>
                <w:b/>
                <w:color w:val="1F1F1F"/>
                <w:sz w:val="21"/>
              </w:rPr>
              <w:t>兼容与界面检查：</w:t>
            </w:r>
            <w:r>
              <w:rPr>
                <w:rFonts w:ascii="宋体" w:hAnsi="宋体" w:eastAsia="宋体"/>
                <w:color w:val="1F1F1F"/>
                <w:sz w:val="21"/>
              </w:rPr>
              <w:t>在 Chrome、Safari、Edge 或 Firefox，以及 1366×768、1920×1080、768×1024、390×844 等尺寸下检查导航、表单、弹窗和架构图，没有出现阻断使用的重叠或溢出。</w:t>
            </w:r>
          </w:p>
          <w:p>
            <w:pPr>
              <w:numPr>
                <w:ilvl w:val="0"/>
                <w:numId w:val="20"/>
              </w:numPr>
              <w:spacing w:before="0" w:after="60" w:line="307" w:lineRule="auto"/>
            </w:pPr>
            <w:r>
              <w:rPr>
                <w:rFonts w:ascii="宋体" w:hAnsi="宋体" w:eastAsia="宋体"/>
                <w:b/>
                <w:color w:val="1F1F1F"/>
                <w:sz w:val="21"/>
              </w:rPr>
              <w:t>性能实测：</w:t>
            </w:r>
            <w:r>
              <w:rPr>
                <w:rFonts w:ascii="宋体" w:hAnsi="宋体" w:eastAsia="宋体"/>
                <w:color w:val="1F1F1F"/>
                <w:sz w:val="21"/>
              </w:rPr>
              <w:t>健康接口在 20 并发、100 请求下成功率 100%，吞吐量 528.35 请求/秒；Webhook 在 10 并发、30 请求下成功率 100%，吞吐量 187.35 请求/秒。</w:t>
            </w:r>
          </w:p>
        </w:tc>
      </w:tr>
      <w:tr>
        <w:tc>
          <w:tcPr>
            <w:tcW w:type="dxa" w:w="8928"/>
            <w:tcMar>
              <w:top w:w="150" w:type="dxa"/>
              <w:start w:w="180" w:type="dxa"/>
              <w:bottom w:w="150" w:type="dxa"/>
              <w:end w:w="180" w:type="dxa"/>
            </w:tcMar>
          </w:tcPr>
          <w:p/>
          <w:p>
            <w:pPr>
              <w:keepNext/>
              <w:spacing w:before="160" w:after="80" w:line="276" w:lineRule="auto"/>
            </w:pPr>
            <w:r>
              <w:rPr>
                <w:rFonts w:ascii="黑体" w:hAnsi="黑体" w:eastAsia="黑体"/>
                <w:b/>
                <w:color w:val="1F1F1F"/>
                <w:sz w:val="23"/>
              </w:rPr>
              <w:t>5．大模型工具辅助完成了哪些软件开发实践活动？</w:t>
            </w:r>
          </w:p>
          <w:p>
            <w:pPr>
              <w:numPr>
                <w:ilvl w:val="0"/>
                <w:numId w:val="20"/>
              </w:numPr>
              <w:spacing w:before="0" w:after="60" w:line="307" w:lineRule="auto"/>
            </w:pPr>
            <w:r>
              <w:rPr>
                <w:rFonts w:ascii="宋体" w:hAnsi="宋体" w:eastAsia="宋体"/>
                <w:b/>
                <w:color w:val="1F1F1F"/>
                <w:sz w:val="21"/>
              </w:rPr>
              <w:t>需求与文档整理：</w:t>
            </w:r>
            <w:r>
              <w:rPr>
                <w:rFonts w:ascii="宋体" w:hAnsi="宋体" w:eastAsia="宋体"/>
                <w:color w:val="1F1F1F"/>
                <w:sz w:val="21"/>
              </w:rPr>
              <w:t>协助把课程要求拆成迭代任务，检查 Vision、用例规约、架构文档、测试用例和答辩材料是否覆盖老师要求。</w:t>
            </w:r>
          </w:p>
          <w:p>
            <w:pPr>
              <w:numPr>
                <w:ilvl w:val="0"/>
                <w:numId w:val="20"/>
              </w:numPr>
              <w:spacing w:before="0" w:after="60" w:line="307" w:lineRule="auto"/>
            </w:pPr>
            <w:r>
              <w:rPr>
                <w:rFonts w:ascii="宋体" w:hAnsi="宋体" w:eastAsia="宋体"/>
                <w:b/>
                <w:color w:val="1F1F1F"/>
                <w:sz w:val="21"/>
              </w:rPr>
              <w:t>编码与测试草稿：</w:t>
            </w:r>
            <w:r>
              <w:rPr>
                <w:rFonts w:ascii="宋体" w:hAnsi="宋体" w:eastAsia="宋体"/>
                <w:color w:val="1F1F1F"/>
                <w:sz w:val="21"/>
              </w:rPr>
              <w:t>根据已有接口生成部分页面、服务和测试代码初稿，补充异常分支、边界条件和测试数据；团队成员再结合仓库结构进行调整。</w:t>
            </w:r>
          </w:p>
          <w:p>
            <w:pPr>
              <w:numPr>
                <w:ilvl w:val="0"/>
                <w:numId w:val="20"/>
              </w:numPr>
              <w:spacing w:before="0" w:after="60" w:line="307" w:lineRule="auto"/>
            </w:pPr>
            <w:r>
              <w:rPr>
                <w:rFonts w:ascii="宋体" w:hAnsi="宋体" w:eastAsia="宋体"/>
                <w:b/>
                <w:color w:val="1F1F1F"/>
                <w:sz w:val="21"/>
              </w:rPr>
              <w:t>问题定位：</w:t>
            </w:r>
            <w:r>
              <w:rPr>
                <w:rFonts w:ascii="宋体" w:hAnsi="宋体" w:eastAsia="宋体"/>
                <w:color w:val="1F1F1F"/>
                <w:sz w:val="21"/>
              </w:rPr>
              <w:t>用于阅读报错、对比前后端字段、分析 Git 冲突和页面布局问题，帮助缩小排查范围，但修复后仍以自动化测试和实际运行结果为准。</w:t>
            </w:r>
          </w:p>
          <w:p>
            <w:pPr>
              <w:numPr>
                <w:ilvl w:val="0"/>
                <w:numId w:val="20"/>
              </w:numPr>
              <w:spacing w:before="0" w:after="60" w:line="307" w:lineRule="auto"/>
            </w:pPr>
            <w:r>
              <w:rPr>
                <w:rFonts w:ascii="宋体" w:hAnsi="宋体" w:eastAsia="宋体"/>
                <w:b/>
                <w:color w:val="1F1F1F"/>
                <w:sz w:val="21"/>
              </w:rPr>
              <w:t>设计讨论：</w:t>
            </w:r>
            <w:r>
              <w:rPr>
                <w:rFonts w:ascii="宋体" w:hAnsi="宋体" w:eastAsia="宋体"/>
                <w:color w:val="1F1F1F"/>
                <w:sz w:val="21"/>
              </w:rPr>
              <w:t>辅助比较分层方案、接口适配、策略模式和观察者模式的适用位置，并生成 UML 或图示草稿，最终结构由小组结合代码评审确定。</w:t>
            </w:r>
          </w:p>
          <w:p>
            <w:pPr>
              <w:numPr>
                <w:ilvl w:val="0"/>
                <w:numId w:val="20"/>
              </w:numPr>
              <w:spacing w:before="0" w:after="60" w:line="307" w:lineRule="auto"/>
            </w:pPr>
            <w:r>
              <w:rPr>
                <w:rFonts w:ascii="宋体" w:hAnsi="宋体" w:eastAsia="宋体"/>
                <w:b/>
                <w:color w:val="1F1F1F"/>
                <w:sz w:val="21"/>
              </w:rPr>
              <w:t>表达与整理：</w:t>
            </w:r>
            <w:r>
              <w:rPr>
                <w:rFonts w:ascii="宋体" w:hAnsi="宋体" w:eastAsia="宋体"/>
                <w:color w:val="1F1F1F"/>
                <w:sz w:val="21"/>
              </w:rPr>
              <w:t>协助整理 README、部署步骤、接口说明和演讲提纲。所有进入仓库和提交材料的内容均由成员核对并承担责任。</w:t>
            </w:r>
          </w:p>
          <w:p>
            <w:pPr>
              <w:keepNext/>
              <w:spacing w:before="160" w:after="80" w:line="276" w:lineRule="auto"/>
            </w:pPr>
            <w:r>
              <w:rPr>
                <w:rFonts w:ascii="黑体" w:hAnsi="黑体" w:eastAsia="黑体"/>
                <w:b/>
                <w:color w:val="1F1F1F"/>
                <w:sz w:val="23"/>
              </w:rPr>
              <w:t>6．哪些环节无法由大模型独立完成？</w:t>
            </w:r>
          </w:p>
          <w:p>
            <w:pPr>
              <w:numPr>
                <w:ilvl w:val="0"/>
                <w:numId w:val="20"/>
              </w:numPr>
              <w:spacing w:before="0" w:after="60" w:line="307" w:lineRule="auto"/>
            </w:pPr>
            <w:r>
              <w:rPr>
                <w:rFonts w:ascii="宋体" w:hAnsi="宋体" w:eastAsia="宋体"/>
                <w:b/>
                <w:color w:val="1F1F1F"/>
                <w:sz w:val="21"/>
              </w:rPr>
              <w:t>需求取舍与责任划分：</w:t>
            </w:r>
            <w:r>
              <w:rPr>
                <w:rFonts w:ascii="宋体" w:hAnsi="宋体" w:eastAsia="宋体"/>
                <w:color w:val="1F1F1F"/>
                <w:sz w:val="21"/>
              </w:rPr>
              <w:t>功能优先级、四人分工、迭代范围和是否删减低优先级用例，需要团队根据时间和课堂要求共同决定。</w:t>
            </w:r>
          </w:p>
          <w:p>
            <w:pPr>
              <w:numPr>
                <w:ilvl w:val="0"/>
                <w:numId w:val="20"/>
              </w:numPr>
              <w:spacing w:before="0" w:after="60" w:line="307" w:lineRule="auto"/>
            </w:pPr>
            <w:r>
              <w:rPr>
                <w:rFonts w:ascii="宋体" w:hAnsi="宋体" w:eastAsia="宋体"/>
                <w:b/>
                <w:color w:val="1F1F1F"/>
                <w:sz w:val="21"/>
              </w:rPr>
              <w:t>真实环境配置：</w:t>
            </w:r>
            <w:r>
              <w:rPr>
                <w:rFonts w:ascii="宋体" w:hAnsi="宋体" w:eastAsia="宋体"/>
                <w:color w:val="1F1F1F"/>
                <w:sz w:val="21"/>
              </w:rPr>
              <w:t>GitHub Token、模型 Key、Webhook Secret、数据库和服务器需要人工配置；密钥管理和权限范围不能交给模型自行判断。</w:t>
            </w:r>
          </w:p>
          <w:p>
            <w:pPr>
              <w:numPr>
                <w:ilvl w:val="0"/>
                <w:numId w:val="20"/>
              </w:numPr>
              <w:spacing w:before="0" w:after="60" w:line="307" w:lineRule="auto"/>
            </w:pPr>
            <w:r>
              <w:rPr>
                <w:rFonts w:ascii="宋体" w:hAnsi="宋体" w:eastAsia="宋体"/>
                <w:b/>
                <w:color w:val="1F1F1F"/>
                <w:sz w:val="21"/>
              </w:rPr>
              <w:t>外部系统验收：</w:t>
            </w:r>
            <w:r>
              <w:rPr>
                <w:rFonts w:ascii="宋体" w:hAnsi="宋体" w:eastAsia="宋体"/>
                <w:color w:val="1F1F1F"/>
                <w:sz w:val="21"/>
              </w:rPr>
              <w:t>真实 GitHub 同步、Webhook 投递、模型回答、分支创建和 PR 结果必须由成员实际操作并检查，模拟结果不能代替最终验收。</w:t>
            </w:r>
          </w:p>
          <w:p>
            <w:pPr>
              <w:numPr>
                <w:ilvl w:val="0"/>
                <w:numId w:val="20"/>
              </w:numPr>
              <w:spacing w:before="0" w:after="60" w:line="307" w:lineRule="auto"/>
            </w:pPr>
            <w:r>
              <w:rPr>
                <w:rFonts w:ascii="宋体" w:hAnsi="宋体" w:eastAsia="宋体"/>
                <w:b/>
                <w:color w:val="1F1F1F"/>
                <w:sz w:val="21"/>
              </w:rPr>
              <w:t>业务正确性判断：</w:t>
            </w:r>
            <w:r>
              <w:rPr>
                <w:rFonts w:ascii="宋体" w:hAnsi="宋体" w:eastAsia="宋体"/>
                <w:color w:val="1F1F1F"/>
                <w:sz w:val="21"/>
              </w:rPr>
              <w:t>Issue 分类是否合理、回答是否引用正确文件、修复是否符合维护者意图，需要理解项目语境的人进行评审。</w:t>
            </w:r>
          </w:p>
          <w:p>
            <w:pPr>
              <w:numPr>
                <w:ilvl w:val="0"/>
                <w:numId w:val="20"/>
              </w:numPr>
              <w:spacing w:before="0" w:after="60" w:line="307" w:lineRule="auto"/>
            </w:pPr>
            <w:r>
              <w:rPr>
                <w:rFonts w:ascii="宋体" w:hAnsi="宋体" w:eastAsia="宋体"/>
                <w:b/>
                <w:color w:val="1F1F1F"/>
                <w:sz w:val="21"/>
              </w:rPr>
              <w:t>界面与兼容性：</w:t>
            </w:r>
            <w:r>
              <w:rPr>
                <w:rFonts w:ascii="宋体" w:hAnsi="宋体" w:eastAsia="宋体"/>
                <w:color w:val="1F1F1F"/>
                <w:sz w:val="21"/>
              </w:rPr>
              <w:t>复杂图布局、响应式效果、交互是否自然，需要在不同浏览器和尺寸中人工观察，单靠代码生成无法保证使用体验。</w:t>
            </w:r>
          </w:p>
          <w:p>
            <w:pPr>
              <w:numPr>
                <w:ilvl w:val="0"/>
                <w:numId w:val="20"/>
              </w:numPr>
              <w:spacing w:before="0" w:after="60" w:line="307" w:lineRule="auto"/>
            </w:pPr>
            <w:r>
              <w:rPr>
                <w:rFonts w:ascii="宋体" w:hAnsi="宋体" w:eastAsia="宋体"/>
                <w:b/>
                <w:color w:val="1F1F1F"/>
                <w:sz w:val="21"/>
              </w:rPr>
              <w:t>集成与最终责任：</w:t>
            </w:r>
            <w:r>
              <w:rPr>
                <w:rFonts w:ascii="宋体" w:hAnsi="宋体" w:eastAsia="宋体"/>
                <w:color w:val="1F1F1F"/>
                <w:sz w:val="21"/>
              </w:rPr>
              <w:t>分支合并、冲突处理、回归测试、材料提交和答辩演示均由成员完成。大模型可以提供建议，但不能替代项目组对代码、数据和结论负责。</w:t>
            </w:r>
          </w:p>
        </w:tc>
      </w:tr>
    </w:tbl>
    <w:p w14:paraId="03953120" w14:textId="77777777" w:rsidR="00040CB8" w:rsidRDefault="00040CB8">
      <w:r>
        <w:br w:type="page"/>
      </w:r>
    </w:p>
    <w:tbl>
      <w:tblPr>
        <w:tblW w:w="89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28"/>
      </w:tblGrid>
      <w:tr w:rsidR="006265D9" w:rsidRPr="00582955" w14:paraId="3B350F7E" w14:textId="77777777" w:rsidTr="00582955">
        <w:trPr>
          <w:cantSplit/>
        </w:trPr>
        <w:tc>
          <w:tcPr>
            <w:tcW w:w="8928" w:type="dxa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keepNext/>
              <w:pageBreakBefore/>
              <w:shd w:fill="E7E6E6"/>
              <w:spacing w:before="0" w:after="120" w:line="288" w:lineRule="auto"/>
              <w:jc w:val="center"/>
            </w:pPr>
            <w:r>
              <w:rPr>
                <w:rFonts w:ascii="黑体" w:hAnsi="黑体" w:eastAsia="黑体"/>
                <w:b/>
                <w:color w:val="1F1F1F"/>
                <w:sz w:val="23"/>
              </w:rPr>
              <w:t>项目组成员以及大模型工具对项目的贡献度（%）</w:t>
            </w:r>
          </w:p>
          <w:p>
            <w:pPr>
              <w:spacing w:before="0" w:after="100" w:line="288" w:lineRule="auto"/>
              <w:jc w:val="left"/>
            </w:pPr>
            <w:r>
              <w:rPr>
                <w:rFonts w:ascii="宋体" w:hAnsi="宋体" w:eastAsia="宋体"/>
                <w:color w:val="555555"/>
                <w:sz w:val="19"/>
              </w:rPr>
              <w:t>注：四名成员按业务模块承担前后端开发和维护，最终贡献均为 25%。大模型只作为辅助工具使用，不作为独立成员计入贡献比例。</w:t>
            </w:r>
          </w:p>
          <w:tbl>
            <w:tblPr>
              <w:tblStyle w:val="a3"/>
              <w:tblW w:w="9288" w:type="dxa"/>
              <w:jc w:val="center"/>
              <w:tblLayout w:type="fixed"/>
              <w:tblLook w:val="04A0" w:firstRow="1" w:lastRow="0" w:firstColumn="1" w:lastColumn="0" w:noHBand="0" w:noVBand="1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</w:tblPr>
            <w:tblGrid>
              <w:gridCol w:w="1872"/>
              <w:gridCol w:w="1080"/>
              <w:gridCol w:w="1080"/>
              <w:gridCol w:w="1080"/>
              <w:gridCol w:w="1080"/>
              <w:gridCol w:w="1828"/>
              <w:gridCol w:w="1267"/>
            </w:tblGrid>
            <w:tr w:rsidR="00140940" w:rsidRPr="00560696" w14:paraId="0BB686D5" w14:textId="77777777" w:rsidTr="00E4019B">
              <w:trPr>
                <w:jc w:val="center"/>
              </w:trPr>
              <w:tc>
                <w:tcPr>
                  <w:tcW w:w="1872" w:type="dxa"/>
                  <w:vAlign w:val="center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  <w:shd w:val="clear" w:fill="D9E2F3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</w:tcPr>
                <w:p>
                  <w:pPr>
                    <w:spacing w:before="0" w:after="0" w:line="288" w:lineRule="auto"/>
                    <w:jc w:val="center"/>
                  </w:pPr>
                  <w:r/>
                  <w:r>
                    <w:rPr>
                      <w:rFonts w:ascii="黑体" w:hAnsi="黑体" w:eastAsia="黑体"/>
                      <w:b/>
                      <w:color w:val="1F1F1F"/>
                      <w:sz w:val="19"/>
                    </w:rPr>
                    <w:t>姓名</w:t>
                  </w:r>
                </w:p>
              </w:tc>
              <w:tc>
                <w:tcPr>
                  <w:tcW w:w="1080" w:type="dxa"/>
                  <w:vAlign w:val="center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  <w:shd w:val="clear" w:fill="D9E2F3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</w:tcPr>
                <w:p>
                  <w:pPr>
                    <w:spacing w:before="0" w:after="0" w:line="288" w:lineRule="auto"/>
                    <w:jc w:val="center"/>
                  </w:pPr>
                  <w:r/>
                  <w:r>
                    <w:rPr>
                      <w:rFonts w:ascii="黑体" w:hAnsi="黑体" w:eastAsia="黑体"/>
                      <w:b/>
                      <w:color w:val="1F1F1F"/>
                      <w:sz w:val="19"/>
                    </w:rPr>
                    <w:t>需求</w:t>
                  </w:r>
                </w:p>
              </w:tc>
              <w:tc>
                <w:tcPr>
                  <w:tcW w:w="1080" w:type="dxa"/>
                  <w:vAlign w:val="center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  <w:shd w:val="clear" w:fill="D9E2F3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</w:tcPr>
                <w:p>
                  <w:pPr>
                    <w:spacing w:before="0" w:after="0" w:line="288" w:lineRule="auto"/>
                    <w:jc w:val="center"/>
                  </w:pPr>
                  <w:r/>
                  <w:r>
                    <w:rPr>
                      <w:rFonts w:ascii="黑体" w:hAnsi="黑体" w:eastAsia="黑体"/>
                      <w:b/>
                      <w:color w:val="1F1F1F"/>
                      <w:sz w:val="19"/>
                    </w:rPr>
                    <w:t>设计</w:t>
                  </w:r>
                </w:p>
              </w:tc>
              <w:tc>
                <w:tcPr>
                  <w:tcW w:w="1080" w:type="dxa"/>
                  <w:vAlign w:val="center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  <w:shd w:val="clear" w:fill="D9E2F3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</w:tcPr>
                <w:p>
                  <w:pPr>
                    <w:spacing w:before="0" w:after="0" w:line="288" w:lineRule="auto"/>
                    <w:jc w:val="center"/>
                  </w:pPr>
                  <w:r/>
                  <w:r>
                    <w:rPr>
                      <w:rFonts w:ascii="黑体" w:hAnsi="黑体" w:eastAsia="黑体"/>
                      <w:b/>
                      <w:color w:val="1F1F1F"/>
                      <w:sz w:val="19"/>
                    </w:rPr>
                    <w:t>编码</w:t>
                  </w:r>
                </w:p>
              </w:tc>
              <w:tc>
                <w:tcPr>
                  <w:tcW w:w="1080" w:type="dxa"/>
                  <w:vAlign w:val="center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  <w:shd w:val="clear" w:fill="D9E2F3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</w:tcPr>
                <w:p>
                  <w:pPr>
                    <w:spacing w:before="0" w:after="0" w:line="288" w:lineRule="auto"/>
                    <w:jc w:val="center"/>
                  </w:pPr>
                  <w:r/>
                  <w:r>
                    <w:rPr>
                      <w:rFonts w:ascii="黑体" w:hAnsi="黑体" w:eastAsia="黑体"/>
                      <w:b/>
                      <w:color w:val="1F1F1F"/>
                      <w:sz w:val="19"/>
                    </w:rPr>
                    <w:t>测试</w:t>
                  </w:r>
                </w:p>
              </w:tc>
              <w:tc>
                <w:tcPr>
                  <w:tcW w:w="1829" w:type="dxa"/>
                  <w:vAlign w:val="center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  <w:shd w:val="clear" w:fill="D9E2F3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</w:tcPr>
                <w:p>
                  <w:pPr>
                    <w:spacing w:before="0" w:after="0" w:line="288" w:lineRule="auto"/>
                    <w:jc w:val="center"/>
                  </w:pPr>
                  <w:r/>
                  <w:r>
                    <w:rPr>
                      <w:rFonts w:ascii="黑体" w:hAnsi="黑体" w:eastAsia="黑体"/>
                      <w:b/>
                      <w:color w:val="1F1F1F"/>
                      <w:sz w:val="19"/>
                    </w:rPr>
                    <w:t>项目管理*</w:t>
                  </w:r>
                </w:p>
              </w:tc>
              <w:tc>
                <w:tcPr>
                  <w:tcW w:w="1267" w:type="dxa"/>
                  <w:vAlign w:val="center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  <w:shd w:val="clear" w:fill="D9E2F3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</w:tcPr>
                <w:p>
                  <w:pPr>
                    <w:spacing w:before="0" w:after="0" w:line="288" w:lineRule="auto"/>
                    <w:jc w:val="center"/>
                  </w:pPr>
                  <w:r/>
                  <w:r>
                    <w:rPr>
                      <w:rFonts w:ascii="黑体" w:hAnsi="黑体" w:eastAsia="黑体"/>
                      <w:b/>
                      <w:color w:val="1F1F1F"/>
                      <w:sz w:val="19"/>
                    </w:rPr>
                    <w:t>小计</w:t>
                  </w:r>
                </w:p>
              </w:tc>
            </w:tr>
            <w:tr w:rsidR="00140940" w:rsidRPr="00560696" w14:paraId="3A1FBC02" w14:textId="77777777" w:rsidTr="00E4019B">
              <w:trPr>
                <w:jc w:val="center"/>
              </w:trPr>
              <w:tc>
                <w:tcPr>
                  <w:tcW w:w="1872" w:type="dxa"/>
                  <w:vAlign w:val="center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</w:tcPr>
                <w:p>
                  <w:pPr>
                    <w:spacing w:before="0" w:after="0" w:line="288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/>
                      <w:color w:val="1F1F1F"/>
                      <w:sz w:val="19"/>
                    </w:rPr>
                    <w:t>杨隽祺</w:t>
                  </w:r>
                </w:p>
              </w:tc>
              <w:tc>
                <w:tcPr>
                  <w:tcW w:w="1080" w:type="dxa"/>
                  <w:vAlign w:val="center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</w:tcPr>
                <w:p>
                  <w:pPr>
                    <w:spacing w:before="0" w:after="0" w:line="288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color w:val="1F1F1F"/>
                      <w:sz w:val="19"/>
                    </w:rPr>
                    <w:t>5%</w:t>
                  </w:r>
                </w:p>
              </w:tc>
              <w:tc>
                <w:tcPr>
                  <w:tcW w:w="1080" w:type="dxa"/>
                  <w:vAlign w:val="center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</w:tcPr>
                <w:p>
                  <w:pPr>
                    <w:spacing w:before="0" w:after="0" w:line="288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color w:val="1F1F1F"/>
                      <w:sz w:val="19"/>
                    </w:rPr>
                    <w:t>5%</w:t>
                  </w:r>
                </w:p>
              </w:tc>
              <w:tc>
                <w:tcPr>
                  <w:tcW w:w="1080" w:type="dxa"/>
                  <w:vAlign w:val="center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</w:tcPr>
                <w:p>
                  <w:pPr>
                    <w:spacing w:before="0" w:after="0" w:line="288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color w:val="1F1F1F"/>
                      <w:sz w:val="19"/>
                    </w:rPr>
                    <w:t>7%</w:t>
                  </w:r>
                </w:p>
              </w:tc>
              <w:tc>
                <w:tcPr>
                  <w:tcW w:w="1080" w:type="dxa"/>
                  <w:vAlign w:val="center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</w:tcPr>
                <w:p>
                  <w:pPr>
                    <w:spacing w:before="0" w:after="0" w:line="288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color w:val="1F1F1F"/>
                      <w:sz w:val="19"/>
                    </w:rPr>
                    <w:t>4%</w:t>
                  </w:r>
                </w:p>
              </w:tc>
              <w:tc>
                <w:tcPr>
                  <w:tcW w:w="1829" w:type="dxa"/>
                  <w:vAlign w:val="center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</w:tcPr>
                <w:p>
                  <w:pPr>
                    <w:spacing w:before="0" w:after="0" w:line="288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color w:val="1F1F1F"/>
                      <w:sz w:val="19"/>
                    </w:rPr>
                    <w:t>4%</w:t>
                  </w:r>
                </w:p>
              </w:tc>
              <w:tc>
                <w:tcPr>
                  <w:tcW w:w="1267" w:type="dxa"/>
                  <w:vAlign w:val="center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</w:tcPr>
                <w:p>
                  <w:pPr>
                    <w:spacing w:before="0" w:after="0" w:line="288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/>
                      <w:color w:val="1F1F1F"/>
                      <w:sz w:val="19"/>
                    </w:rPr>
                    <w:t>25%</w:t>
                  </w:r>
                </w:p>
              </w:tc>
            </w:tr>
            <w:tr w:rsidR="00140940" w:rsidRPr="00560696" w14:paraId="0112D20C" w14:textId="77777777" w:rsidTr="00E4019B">
              <w:trPr>
                <w:jc w:val="center"/>
              </w:trPr>
              <w:tc>
                <w:tcPr>
                  <w:tcW w:w="1872" w:type="dxa"/>
                  <w:vAlign w:val="center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</w:tcPr>
                <w:p>
                  <w:pPr>
                    <w:spacing w:before="0" w:after="0" w:line="288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/>
                      <w:color w:val="1F1F1F"/>
                      <w:sz w:val="19"/>
                    </w:rPr>
                    <w:t>杨可卓</w:t>
                  </w:r>
                </w:p>
              </w:tc>
              <w:tc>
                <w:tcPr>
                  <w:tcW w:w="1080" w:type="dxa"/>
                  <w:vAlign w:val="center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</w:tcPr>
                <w:p>
                  <w:pPr>
                    <w:spacing w:before="0" w:after="0" w:line="288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color w:val="1F1F1F"/>
                      <w:sz w:val="19"/>
                    </w:rPr>
                    <w:t>4%</w:t>
                  </w:r>
                </w:p>
              </w:tc>
              <w:tc>
                <w:tcPr>
                  <w:tcW w:w="1080" w:type="dxa"/>
                  <w:vAlign w:val="center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</w:tcPr>
                <w:p>
                  <w:pPr>
                    <w:spacing w:before="0" w:after="0" w:line="288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color w:val="1F1F1F"/>
                      <w:sz w:val="19"/>
                    </w:rPr>
                    <w:t>6%</w:t>
                  </w:r>
                </w:p>
              </w:tc>
              <w:tc>
                <w:tcPr>
                  <w:tcW w:w="1080" w:type="dxa"/>
                  <w:vAlign w:val="center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</w:tcPr>
                <w:p>
                  <w:pPr>
                    <w:spacing w:before="0" w:after="0" w:line="288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color w:val="1F1F1F"/>
                      <w:sz w:val="19"/>
                    </w:rPr>
                    <w:t>8%</w:t>
                  </w:r>
                </w:p>
              </w:tc>
              <w:tc>
                <w:tcPr>
                  <w:tcW w:w="1080" w:type="dxa"/>
                  <w:vAlign w:val="center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</w:tcPr>
                <w:p>
                  <w:pPr>
                    <w:spacing w:before="0" w:after="0" w:line="288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color w:val="1F1F1F"/>
                      <w:sz w:val="19"/>
                    </w:rPr>
                    <w:t>5%</w:t>
                  </w:r>
                </w:p>
              </w:tc>
              <w:tc>
                <w:tcPr>
                  <w:tcW w:w="1829" w:type="dxa"/>
                  <w:vAlign w:val="center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</w:tcPr>
                <w:p>
                  <w:pPr>
                    <w:spacing w:before="0" w:after="0" w:line="288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color w:val="1F1F1F"/>
                      <w:sz w:val="19"/>
                    </w:rPr>
                    <w:t>2%</w:t>
                  </w:r>
                </w:p>
              </w:tc>
              <w:tc>
                <w:tcPr>
                  <w:tcW w:w="1267" w:type="dxa"/>
                  <w:vAlign w:val="center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</w:tcPr>
                <w:p>
                  <w:pPr>
                    <w:spacing w:before="0" w:after="0" w:line="288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/>
                      <w:color w:val="1F1F1F"/>
                      <w:sz w:val="19"/>
                    </w:rPr>
                    <w:t>25%</w:t>
                  </w:r>
                </w:p>
              </w:tc>
            </w:tr>
            <w:tr w:rsidR="00140940" w:rsidRPr="00560696" w14:paraId="67324147" w14:textId="77777777" w:rsidTr="00E4019B">
              <w:trPr>
                <w:jc w:val="center"/>
              </w:trPr>
              <w:tc>
                <w:tcPr>
                  <w:tcW w:w="1872" w:type="dxa"/>
                  <w:vAlign w:val="center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</w:tcPr>
                <w:p>
                  <w:pPr>
                    <w:spacing w:before="0" w:after="0" w:line="288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/>
                      <w:color w:val="1F1F1F"/>
                      <w:sz w:val="19"/>
                    </w:rPr>
                    <w:t>王光佑</w:t>
                  </w:r>
                </w:p>
              </w:tc>
              <w:tc>
                <w:tcPr>
                  <w:tcW w:w="1080" w:type="dxa"/>
                  <w:vAlign w:val="center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</w:tcPr>
                <w:p>
                  <w:pPr>
                    <w:spacing w:before="0" w:after="0" w:line="288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color w:val="1F1F1F"/>
                      <w:sz w:val="19"/>
                    </w:rPr>
                    <w:t>5%</w:t>
                  </w:r>
                </w:p>
              </w:tc>
              <w:tc>
                <w:tcPr>
                  <w:tcW w:w="1080" w:type="dxa"/>
                  <w:vAlign w:val="center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</w:tcPr>
                <w:p>
                  <w:pPr>
                    <w:spacing w:before="0" w:after="0" w:line="288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color w:val="1F1F1F"/>
                      <w:sz w:val="19"/>
                    </w:rPr>
                    <w:t>6%</w:t>
                  </w:r>
                </w:p>
              </w:tc>
              <w:tc>
                <w:tcPr>
                  <w:tcW w:w="1080" w:type="dxa"/>
                  <w:vAlign w:val="center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</w:tcPr>
                <w:p>
                  <w:pPr>
                    <w:spacing w:before="0" w:after="0" w:line="288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color w:val="1F1F1F"/>
                      <w:sz w:val="19"/>
                    </w:rPr>
                    <w:t>7%</w:t>
                  </w:r>
                </w:p>
              </w:tc>
              <w:tc>
                <w:tcPr>
                  <w:tcW w:w="1080" w:type="dxa"/>
                  <w:vAlign w:val="center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</w:tcPr>
                <w:p>
                  <w:pPr>
                    <w:spacing w:before="0" w:after="0" w:line="288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color w:val="1F1F1F"/>
                      <w:sz w:val="19"/>
                    </w:rPr>
                    <w:t>4%</w:t>
                  </w:r>
                </w:p>
              </w:tc>
              <w:tc>
                <w:tcPr>
                  <w:tcW w:w="1829" w:type="dxa"/>
                  <w:vAlign w:val="center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</w:tcPr>
                <w:p>
                  <w:pPr>
                    <w:spacing w:before="0" w:after="0" w:line="288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color w:val="1F1F1F"/>
                      <w:sz w:val="19"/>
                    </w:rPr>
                    <w:t>3%</w:t>
                  </w:r>
                </w:p>
              </w:tc>
              <w:tc>
                <w:tcPr>
                  <w:tcW w:w="1267" w:type="dxa"/>
                  <w:vAlign w:val="center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</w:tcPr>
                <w:p>
                  <w:pPr>
                    <w:spacing w:before="0" w:after="0" w:line="288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/>
                      <w:color w:val="1F1F1F"/>
                      <w:sz w:val="19"/>
                    </w:rPr>
                    <w:t>25%</w:t>
                  </w:r>
                </w:p>
              </w:tc>
            </w:tr>
            <w:tr w:rsidR="0031038A" w:rsidRPr="00560696" w14:paraId="1BD639F4" w14:textId="77777777" w:rsidTr="00E4019B">
              <w:trPr>
                <w:jc w:val="center"/>
              </w:trPr>
              <w:tc>
                <w:tcPr>
                  <w:tcW w:w="1872" w:type="dxa"/>
                  <w:vAlign w:val="center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</w:tcPr>
                <w:p>
                  <w:pPr>
                    <w:spacing w:before="0" w:after="0" w:line="288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/>
                      <w:color w:val="1F1F1F"/>
                      <w:sz w:val="19"/>
                    </w:rPr>
                    <w:t>焦一帆</w:t>
                  </w:r>
                </w:p>
              </w:tc>
              <w:tc>
                <w:tcPr>
                  <w:tcW w:w="1080" w:type="dxa"/>
                  <w:vAlign w:val="center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</w:tcPr>
                <w:p>
                  <w:pPr>
                    <w:spacing w:before="0" w:after="0" w:line="288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color w:val="1F1F1F"/>
                      <w:sz w:val="19"/>
                    </w:rPr>
                    <w:t>4%</w:t>
                  </w:r>
                </w:p>
              </w:tc>
              <w:tc>
                <w:tcPr>
                  <w:tcW w:w="1080" w:type="dxa"/>
                  <w:vAlign w:val="center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</w:tcPr>
                <w:p>
                  <w:pPr>
                    <w:spacing w:before="0" w:after="0" w:line="288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color w:val="1F1F1F"/>
                      <w:sz w:val="19"/>
                    </w:rPr>
                    <w:t>6%</w:t>
                  </w:r>
                </w:p>
              </w:tc>
              <w:tc>
                <w:tcPr>
                  <w:tcW w:w="1080" w:type="dxa"/>
                  <w:vAlign w:val="center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</w:tcPr>
                <w:p>
                  <w:pPr>
                    <w:spacing w:before="0" w:after="0" w:line="288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color w:val="1F1F1F"/>
                      <w:sz w:val="19"/>
                    </w:rPr>
                    <w:t>8%</w:t>
                  </w:r>
                </w:p>
              </w:tc>
              <w:tc>
                <w:tcPr>
                  <w:tcW w:w="1080" w:type="dxa"/>
                  <w:vAlign w:val="center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</w:tcPr>
                <w:p>
                  <w:pPr>
                    <w:spacing w:before="0" w:after="0" w:line="288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color w:val="1F1F1F"/>
                      <w:sz w:val="19"/>
                    </w:rPr>
                    <w:t>5%</w:t>
                  </w:r>
                </w:p>
              </w:tc>
              <w:tc>
                <w:tcPr>
                  <w:tcW w:w="1829" w:type="dxa"/>
                  <w:vAlign w:val="center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</w:tcPr>
                <w:p>
                  <w:pPr>
                    <w:spacing w:before="0" w:after="0" w:line="288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color w:val="1F1F1F"/>
                      <w:sz w:val="19"/>
                    </w:rPr>
                    <w:t>2%</w:t>
                  </w:r>
                </w:p>
              </w:tc>
              <w:tc>
                <w:tcPr>
                  <w:tcW w:w="1267" w:type="dxa"/>
                  <w:vAlign w:val="center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</w:tcPr>
                <w:p>
                  <w:pPr>
                    <w:spacing w:before="0" w:after="0" w:line="288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/>
                      <w:color w:val="1F1F1F"/>
                      <w:sz w:val="19"/>
                    </w:rPr>
                    <w:t>25%</w:t>
                  </w:r>
                </w:p>
              </w:tc>
            </w:tr>
          </w:tbl>
          <w:p>
            <w:pPr>
              <w:keepNext/>
              <w:spacing w:before="140" w:after="60"/>
            </w:pPr>
            <w:r>
              <w:rPr>
                <w:rFonts w:ascii="黑体" w:hAnsi="黑体" w:eastAsia="黑体"/>
                <w:b/>
                <w:color w:val="1F1F1F"/>
                <w:sz w:val="21"/>
              </w:rPr>
              <w:t>主要分工</w:t>
            </w:r>
          </w:p>
          <w:p>
            <w:pPr>
              <w:numPr>
                <w:ilvl w:val="0"/>
                <w:numId w:val="20"/>
              </w:numPr>
              <w:spacing w:before="0" w:after="60" w:line="307" w:lineRule="auto"/>
            </w:pPr>
            <w:r>
              <w:rPr>
                <w:rFonts w:ascii="宋体" w:hAnsi="宋体" w:eastAsia="宋体"/>
                <w:b/>
                <w:color w:val="1F1F1F"/>
                <w:sz w:val="21"/>
              </w:rPr>
              <w:t>杨隽祺：</w:t>
            </w:r>
            <w:r>
              <w:rPr>
                <w:rFonts w:ascii="宋体" w:hAnsi="宋体" w:eastAsia="宋体"/>
                <w:color w:val="1F1F1F"/>
                <w:sz w:val="21"/>
              </w:rPr>
              <w:t>与杨可卓共同负责 AI 仓库问答、RAG 知识库、数据库持久化和相关配置联调。</w:t>
            </w:r>
          </w:p>
          <w:p>
            <w:pPr>
              <w:numPr>
                <w:ilvl w:val="0"/>
                <w:numId w:val="20"/>
              </w:numPr>
              <w:spacing w:before="0" w:after="60" w:line="307" w:lineRule="auto"/>
            </w:pPr>
            <w:r>
              <w:rPr>
                <w:rFonts w:ascii="宋体" w:hAnsi="宋体" w:eastAsia="宋体"/>
                <w:b/>
                <w:color w:val="1F1F1F"/>
                <w:sz w:val="21"/>
              </w:rPr>
              <w:t>杨可卓：</w:t>
            </w:r>
            <w:r>
              <w:rPr>
                <w:rFonts w:ascii="宋体" w:hAnsi="宋体" w:eastAsia="宋体"/>
                <w:color w:val="1F1F1F"/>
                <w:sz w:val="21"/>
              </w:rPr>
              <w:t>与杨隽祺共同负责 Agent 工具调用、模型接入、知识库检索及 PostgreSQL/pgvector 数据链路。</w:t>
            </w:r>
          </w:p>
          <w:p>
            <w:pPr>
              <w:numPr>
                <w:ilvl w:val="0"/>
                <w:numId w:val="20"/>
              </w:numPr>
              <w:spacing w:before="0" w:after="60" w:line="307" w:lineRule="auto"/>
            </w:pPr>
            <w:r>
              <w:rPr>
                <w:rFonts w:ascii="宋体" w:hAnsi="宋体" w:eastAsia="宋体"/>
                <w:b/>
                <w:color w:val="1F1F1F"/>
                <w:sz w:val="21"/>
              </w:rPr>
              <w:t>王光佑：</w:t>
            </w:r>
            <w:r>
              <w:rPr>
                <w:rFonts w:ascii="宋体" w:hAnsi="宋体" w:eastAsia="宋体"/>
                <w:color w:val="1F1F1F"/>
                <w:sz w:val="21"/>
              </w:rPr>
              <w:t>非 AI 项目解析、交互式架构图、变更影响和版本演化。</w:t>
            </w:r>
          </w:p>
          <w:p>
            <w:pPr>
              <w:numPr>
                <w:ilvl w:val="0"/>
                <w:numId w:val="20"/>
              </w:numPr>
              <w:spacing w:before="0" w:after="60" w:line="307" w:lineRule="auto"/>
            </w:pPr>
            <w:r>
              <w:rPr>
                <w:rFonts w:ascii="宋体" w:hAnsi="宋体" w:eastAsia="宋体"/>
                <w:b/>
                <w:color w:val="1F1F1F"/>
                <w:sz w:val="21"/>
              </w:rPr>
              <w:t>焦一帆：</w:t>
            </w:r>
            <w:r>
              <w:rPr>
                <w:rFonts w:ascii="宋体" w:hAnsi="宋体" w:eastAsia="宋体"/>
                <w:color w:val="1F1F1F"/>
                <w:sz w:val="21"/>
              </w:rPr>
              <w:t>Issue 监听分类、回复建议、FAQ 与自动修复 PR 流程。</w:t>
            </w:r>
          </w:p>
        </w:tc>
      </w:tr>
    </w:tbl>
    <w:p w14:paraId="024C135B" w14:textId="77777777" w:rsidR="008C214A" w:rsidRPr="008C214A" w:rsidRDefault="008C214A" w:rsidP="008C214A">
      <w:pPr>
        <w:rPr>
          <w:vanish/>
        </w:rPr>
      </w:pPr>
    </w:p>
    <w:tbl>
      <w:tblPr>
        <w:tblW w:w="89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28"/>
      </w:tblGrid>
      <w:tr w:rsidR="0078028D" w:rsidRPr="008C214A" w14:paraId="44916E28" w14:textId="77777777" w:rsidTr="008C214A">
        <w:tblPrEx>
          <w:tblBorders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c>
          <w:tcPr>
            <w:tcW w:w="8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70" w:type="dxa"/>
              <w:start w:w="180" w:type="dxa"/>
              <w:bottom w:w="170" w:type="dxa"/>
              <w:end w:w="180" w:type="dxa"/>
            </w:tcMar>
          </w:tcPr>
          <w:p>
            <w:pPr>
              <w:keepNext/>
              <w:pageBreakBefore/>
              <w:shd w:fill="E7E6E6"/>
              <w:spacing w:before="0" w:after="120" w:line="288" w:lineRule="auto"/>
              <w:jc w:val="center"/>
            </w:pPr>
            <w:r>
              <w:rPr>
                <w:rFonts w:ascii="黑体" w:hAnsi="黑体" w:eastAsia="黑体"/>
                <w:b/>
                <w:color w:val="1F1F1F"/>
                <w:sz w:val="23"/>
              </w:rPr>
              <w:t>经验、教训和建议</w:t>
            </w:r>
          </w:p>
          <w:p>
            <w:pPr>
              <w:spacing w:before="0" w:after="120" w:line="324" w:lineRule="auto"/>
              <w:jc w:val="both"/>
            </w:pPr>
            <w:r>
              <w:rPr>
                <w:rFonts w:ascii="宋体" w:hAnsi="宋体" w:eastAsia="宋体"/>
                <w:color w:val="1F1F1F"/>
                <w:sz w:val="21"/>
              </w:rPr>
              <w:t>项目从界面原型、技术原型到构造迭代逐步推进。前期先用界面和 Use-Case 明确范围，中期建立分层架构和数据链路，后期集中补齐自动修复、测试、文档和答辩准备。整个过程里，下面几条经验最直接。</w:t>
            </w:r>
          </w:p>
          <w:p>
            <w:pPr>
              <w:keepNext/>
              <w:spacing w:before="160" w:after="80" w:line="276" w:lineRule="auto"/>
            </w:pPr>
            <w:r>
              <w:rPr>
                <w:rFonts w:ascii="黑体" w:hAnsi="黑体" w:eastAsia="黑体"/>
                <w:b/>
                <w:color w:val="1F1F1F"/>
                <w:sz w:val="23"/>
              </w:rPr>
              <w:t>1．先统一数据和接口，再并行开发</w:t>
            </w:r>
          </w:p>
          <w:p>
            <w:pPr>
              <w:spacing w:before="0" w:after="80" w:line="324" w:lineRule="auto"/>
              <w:jc w:val="both"/>
            </w:pPr>
            <w:r>
              <w:rPr>
                <w:rFonts w:ascii="宋体" w:hAnsi="宋体" w:eastAsia="宋体"/>
                <w:color w:val="1F1F1F"/>
                <w:sz w:val="21"/>
              </w:rPr>
              <w:t>四个模块最终都依赖仓库上下文。早期先确定 RepositorySnapshot、RepositoryStore 和 API 返回结构后，项目解析、问答和 Issue 处理才能稳定衔接。按业务模块纵向分工比单纯按前后端拆分更适合本项目，但共享数据模型必须由全组共同维护。</w:t>
            </w:r>
          </w:p>
          <w:p>
            <w:pPr>
              <w:keepNext/>
              <w:spacing w:before="160" w:after="80" w:line="276" w:lineRule="auto"/>
            </w:pPr>
            <w:r>
              <w:rPr>
                <w:rFonts w:ascii="黑体" w:hAnsi="黑体" w:eastAsia="黑体"/>
                <w:b/>
                <w:color w:val="1F1F1F"/>
                <w:sz w:val="23"/>
              </w:rPr>
              <w:t>2．原型可以简化，但要标清边界</w:t>
            </w:r>
          </w:p>
          <w:p>
            <w:pPr>
              <w:spacing w:before="0" w:after="80" w:line="324" w:lineRule="auto"/>
              <w:jc w:val="both"/>
            </w:pPr>
            <w:r>
              <w:rPr>
                <w:rFonts w:ascii="宋体" w:hAnsi="宋体" w:eastAsia="宋体"/>
                <w:color w:val="1F1F1F"/>
                <w:sz w:val="21"/>
              </w:rPr>
              <w:t>界面迭代中使用过示例状态，技术迭代后逐步替换成真实接口。这个做法能保证进度，但如果示例和真实字段没有及时对齐，就会产生重复分析逻辑和页面返工。以后做原型时，应从一开始标明哪些数据是真实结果、哪些只是占位。</w:t>
            </w:r>
          </w:p>
          <w:p>
            <w:pPr>
              <w:keepNext/>
              <w:spacing w:before="160" w:after="80" w:line="276" w:lineRule="auto"/>
            </w:pPr>
            <w:r>
              <w:rPr>
                <w:rFonts w:ascii="黑体" w:hAnsi="黑体" w:eastAsia="黑体"/>
                <w:b/>
                <w:color w:val="1F1F1F"/>
                <w:sz w:val="23"/>
              </w:rPr>
              <w:t>3．外部服务问题不能只看代码</w:t>
            </w:r>
          </w:p>
          <w:p>
            <w:pPr>
              <w:spacing w:before="0" w:after="80" w:line="324" w:lineRule="auto"/>
              <w:jc w:val="both"/>
            </w:pPr>
            <w:r>
              <w:rPr>
                <w:rFonts w:ascii="宋体" w:hAnsi="宋体" w:eastAsia="宋体"/>
                <w:color w:val="1F1F1F"/>
                <w:sz w:val="21"/>
              </w:rPr>
              <w:t>GitHub 访问、模型接口、数据库和 Webhook 都受网络、权限和配置影响。开发过程中遇到过 Token 限额、超时、端口占用和模型配置错误。比较有效的处理方式是把配置检查、健康状态和明确错误提示放进系统，并把纯本地测试与真实外部服务测试分开执行。</w:t>
            </w:r>
          </w:p>
          <w:p>
            <w:pPr>
              <w:keepNext/>
              <w:spacing w:before="160" w:after="80" w:line="276" w:lineRule="auto"/>
            </w:pPr>
            <w:r>
              <w:rPr>
                <w:rFonts w:ascii="黑体" w:hAnsi="黑体" w:eastAsia="黑体"/>
                <w:b/>
                <w:color w:val="1F1F1F"/>
                <w:sz w:val="23"/>
              </w:rPr>
              <w:t>4．大模型适合加快草稿，不适合代替验收</w:t>
            </w:r>
          </w:p>
          <w:p>
            <w:pPr>
              <w:spacing w:before="0" w:after="80" w:line="324" w:lineRule="auto"/>
              <w:jc w:val="both"/>
            </w:pPr>
            <w:r>
              <w:rPr>
                <w:rFonts w:ascii="宋体" w:hAnsi="宋体" w:eastAsia="宋体"/>
                <w:color w:val="1F1F1F"/>
                <w:sz w:val="21"/>
              </w:rPr>
              <w:t>大模型在生成代码骨架、补测试和整理文档时效率较高，但也会出现字段理解错误、重复逻辑、过度设计或把计划写成已完成的情况。团队最终形成的习惯是：先限定任务范围，再审查差异，最后用测试、浏览器和真实 GitHub 操作验证。不能因为代码能够生成，就省略对结果的理解。</w:t>
            </w:r>
          </w:p>
          <w:p>
            <w:pPr>
              <w:keepNext/>
              <w:spacing w:before="160" w:after="80" w:line="276" w:lineRule="auto"/>
            </w:pPr>
            <w:r>
              <w:rPr>
                <w:rFonts w:ascii="黑体" w:hAnsi="黑体" w:eastAsia="黑体"/>
                <w:b/>
                <w:color w:val="1F1F1F"/>
                <w:sz w:val="23"/>
              </w:rPr>
              <w:t>5．测试应跟着风险走</w:t>
            </w:r>
          </w:p>
          <w:p>
            <w:pPr>
              <w:spacing w:before="0" w:after="80" w:line="324" w:lineRule="auto"/>
              <w:jc w:val="both"/>
            </w:pPr>
            <w:r>
              <w:rPr>
                <w:rFonts w:ascii="宋体" w:hAnsi="宋体" w:eastAsia="宋体"/>
                <w:color w:val="1F1F1F"/>
                <w:sz w:val="21"/>
              </w:rPr>
              <w:t>仓库同步、Webhook、分类、问答和自动修复的风险不同。我们没有只追求测试数量，而是把签名、幂等、错误降级、数据隔离、默认分支和 PR 边界列为重点；对核心分类模块单独生成覆盖率报告，对完整流程再执行系统测试和真实环境演练。</w:t>
            </w:r>
          </w:p>
          <w:p>
            <w:pPr>
              <w:keepNext/>
              <w:spacing w:before="160" w:after="80" w:line="276" w:lineRule="auto"/>
            </w:pPr>
            <w:r>
              <w:rPr>
                <w:rFonts w:ascii="黑体" w:hAnsi="黑体" w:eastAsia="黑体"/>
                <w:b/>
                <w:color w:val="1F1F1F"/>
                <w:sz w:val="23"/>
              </w:rPr>
              <w:t>6．后续建议</w:t>
            </w:r>
          </w:p>
          <w:p>
            <w:pPr>
              <w:numPr>
                <w:ilvl w:val="0"/>
                <w:numId w:val="20"/>
              </w:numPr>
              <w:spacing w:before="0" w:after="60" w:line="307" w:lineRule="auto"/>
            </w:pPr>
            <w:r>
              <w:rPr>
                <w:rFonts w:ascii="宋体" w:hAnsi="宋体" w:eastAsia="宋体"/>
                <w:b/>
                <w:color w:val="1F1F1F"/>
                <w:sz w:val="21"/>
              </w:rPr>
              <w:t>工程流程：</w:t>
            </w:r>
            <w:r>
              <w:rPr>
                <w:rFonts w:ascii="宋体" w:hAnsi="宋体" w:eastAsia="宋体"/>
                <w:color w:val="1F1F1F"/>
                <w:sz w:val="21"/>
              </w:rPr>
              <w:t>把前端构建、后端测试和数据库迁移加入持续集成，减少合并后才发现问题。</w:t>
            </w:r>
          </w:p>
          <w:p>
            <w:pPr>
              <w:numPr>
                <w:ilvl w:val="0"/>
                <w:numId w:val="20"/>
              </w:numPr>
              <w:spacing w:before="0" w:after="60" w:line="307" w:lineRule="auto"/>
            </w:pPr>
            <w:r>
              <w:rPr>
                <w:rFonts w:ascii="宋体" w:hAnsi="宋体" w:eastAsia="宋体"/>
                <w:b/>
                <w:color w:val="1F1F1F"/>
                <w:sz w:val="21"/>
              </w:rPr>
              <w:t>仓库同步：</w:t>
            </w:r>
            <w:r>
              <w:rPr>
                <w:rFonts w:ascii="宋体" w:hAnsi="宋体" w:eastAsia="宋体"/>
                <w:color w:val="1F1F1F"/>
                <w:sz w:val="21"/>
              </w:rPr>
              <w:t>大仓库同步改为后台任务和增量更新，并记录更完整的进度、失败原因和重试状态。</w:t>
            </w:r>
          </w:p>
          <w:p>
            <w:pPr>
              <w:numPr>
                <w:ilvl w:val="0"/>
                <w:numId w:val="20"/>
              </w:numPr>
              <w:spacing w:before="0" w:after="60" w:line="307" w:lineRule="auto"/>
            </w:pPr>
            <w:r>
              <w:rPr>
                <w:rFonts w:ascii="宋体" w:hAnsi="宋体" w:eastAsia="宋体"/>
                <w:b/>
                <w:color w:val="1F1F1F"/>
                <w:sz w:val="21"/>
              </w:rPr>
              <w:t>问答评估：</w:t>
            </w:r>
            <w:r>
              <w:rPr>
                <w:rFonts w:ascii="宋体" w:hAnsi="宋体" w:eastAsia="宋体"/>
                <w:color w:val="1F1F1F"/>
                <w:sz w:val="21"/>
              </w:rPr>
              <w:t>扩充 What、Where、How 和 Issue 场景题库，持续统计引用命中率、事实准确性、响应时间和多轮稳定性。</w:t>
            </w:r>
          </w:p>
          <w:p>
            <w:pPr>
              <w:numPr>
                <w:ilvl w:val="0"/>
                <w:numId w:val="20"/>
              </w:numPr>
              <w:spacing w:before="0" w:after="60" w:line="307" w:lineRule="auto"/>
            </w:pPr>
            <w:r>
              <w:rPr>
                <w:rFonts w:ascii="宋体" w:hAnsi="宋体" w:eastAsia="宋体"/>
                <w:b/>
                <w:color w:val="1F1F1F"/>
                <w:sz w:val="21"/>
              </w:rPr>
              <w:t>自动修复：</w:t>
            </w:r>
            <w:r>
              <w:rPr>
                <w:rFonts w:ascii="宋体" w:hAnsi="宋体" w:eastAsia="宋体"/>
                <w:color w:val="1F1F1F"/>
                <w:sz w:val="21"/>
              </w:rPr>
              <w:t>增加更严格的沙箱、代码差异检查、测试门禁和人工审批，确保不会越过仓库权限和主分支边界。</w:t>
            </w:r>
          </w:p>
        </w:tc>
      </w:tr>
    </w:tbl>
    <w:p w14:paraId="1A3BD830" w14:textId="77777777" w:rsidR="00333F36" w:rsidRPr="00333F36" w:rsidRDefault="000B62BA" w:rsidP="008C214A">
      <w:pPr>
        <w:spacing w:before="100" w:after="0" w:line="264" w:lineRule="auto"/>
        <w:jc w:val="left"/>
      </w:pPr>
      <w:r>
        <w:rPr>
          <w:rFonts w:ascii="宋体" w:hAnsi="宋体" w:eastAsia="宋体"/>
          <w:color w:val="1F1F1F"/>
          <w:sz w:val="19"/>
        </w:rPr>
        <w:t>项目组各成员签字：  杨隽祺：______  杨可卓：______  王光佑：______  焦一帆：______</w:t>
      </w:r>
    </w:p>
    <w:sectPr w:rsidR="00333F36" w:rsidRPr="00333F36" w:rsidSect="008C214A">
      <w:pgSz w:w="11906" w:h="16838"/>
      <w:pgMar w:top="998" w:right="1134" w:bottom="851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26B3D3" w14:textId="77777777" w:rsidR="00EC5936" w:rsidRDefault="00EC5936" w:rsidP="004B14A3">
      <w:r>
        <w:separator/>
      </w:r>
    </w:p>
  </w:endnote>
  <w:endnote w:type="continuationSeparator" w:id="0">
    <w:p w14:paraId="7B24E4FC" w14:textId="77777777" w:rsidR="00EC5936" w:rsidRDefault="00EC5936" w:rsidP="004B14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468DDE" w14:textId="77777777" w:rsidR="00EC5936" w:rsidRDefault="00EC5936" w:rsidP="004B14A3">
      <w:r>
        <w:separator/>
      </w:r>
    </w:p>
  </w:footnote>
  <w:footnote w:type="continuationSeparator" w:id="0">
    <w:p w14:paraId="5F30ACCB" w14:textId="77777777" w:rsidR="00EC5936" w:rsidRDefault="00EC5936" w:rsidP="004B14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97833"/>
    <w:multiLevelType w:val="hybridMultilevel"/>
    <w:tmpl w:val="1E10B9A6"/>
    <w:lvl w:ilvl="0" w:tplc="8EE69794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698125E">
      <w:start w:val="193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AAE75DC">
      <w:start w:val="193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DFB6041A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07A0A12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DE0170C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A14B1C0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90ABF46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016EA00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54894"/>
    <w:multiLevelType w:val="multilevel"/>
    <w:tmpl w:val="359C11D4"/>
    <w:lvl w:ilvl="0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8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555A5"/>
    <w:multiLevelType w:val="hybridMultilevel"/>
    <w:tmpl w:val="C1C88A44"/>
    <w:lvl w:ilvl="0" w:tplc="5DF88878">
      <w:start w:val="1"/>
      <w:numFmt w:val="bullet"/>
      <w:lvlText w:val="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  <w:sz w:val="13"/>
        <w:szCs w:val="13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FD057FE"/>
    <w:multiLevelType w:val="hybridMultilevel"/>
    <w:tmpl w:val="76CE1DE2"/>
    <w:lvl w:ilvl="0" w:tplc="4EB27604">
      <w:start w:val="1"/>
      <w:numFmt w:val="decimal"/>
      <w:lvlText w:val="%1)"/>
      <w:lvlJc w:val="left"/>
      <w:pPr>
        <w:tabs>
          <w:tab w:val="num" w:pos="780"/>
        </w:tabs>
        <w:ind w:left="780" w:hanging="420"/>
      </w:pPr>
      <w:rPr>
        <w:rFonts w:hint="eastAsia"/>
        <w:sz w:val="21"/>
        <w:szCs w:val="21"/>
      </w:rPr>
    </w:lvl>
    <w:lvl w:ilvl="1" w:tplc="891ED7D4">
      <w:start w:val="18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22C2DE2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1A7DAE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18F116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2F43712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7121576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65016A8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7E6AE40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AE5985"/>
    <w:multiLevelType w:val="hybridMultilevel"/>
    <w:tmpl w:val="12909EA6"/>
    <w:lvl w:ilvl="0" w:tplc="943A20E8">
      <w:start w:val="1"/>
      <w:numFmt w:val="decimal"/>
      <w:lvlText w:val="%1）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49644D0"/>
    <w:multiLevelType w:val="hybridMultilevel"/>
    <w:tmpl w:val="294A7684"/>
    <w:lvl w:ilvl="0" w:tplc="5DF88878">
      <w:start w:val="1"/>
      <w:numFmt w:val="bullet"/>
      <w:lvlText w:val="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  <w:sz w:val="13"/>
        <w:szCs w:val="13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336C78EF"/>
    <w:multiLevelType w:val="hybridMultilevel"/>
    <w:tmpl w:val="5F326A86"/>
    <w:lvl w:ilvl="0" w:tplc="37C2662E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E4838C2">
      <w:start w:val="18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2721FF2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ACC7AE2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47E190E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49202FE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30FCF0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1BA3196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A32DC5A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A12B66"/>
    <w:multiLevelType w:val="hybridMultilevel"/>
    <w:tmpl w:val="359C11D4"/>
    <w:lvl w:ilvl="0" w:tplc="53B6DD98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91ED7D4">
      <w:start w:val="18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22C2DE2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1A7DAE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18F116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2F43712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7121576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65016A8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7E6AE40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7558D2"/>
    <w:multiLevelType w:val="hybridMultilevel"/>
    <w:tmpl w:val="81E22E6E"/>
    <w:lvl w:ilvl="0" w:tplc="4EB27604">
      <w:start w:val="1"/>
      <w:numFmt w:val="decimal"/>
      <w:lvlText w:val="%1)"/>
      <w:lvlJc w:val="left"/>
      <w:pPr>
        <w:tabs>
          <w:tab w:val="num" w:pos="780"/>
        </w:tabs>
        <w:ind w:left="780" w:hanging="420"/>
      </w:pPr>
      <w:rPr>
        <w:rFonts w:hint="eastAsia"/>
        <w:sz w:val="21"/>
        <w:szCs w:val="21"/>
      </w:rPr>
    </w:lvl>
    <w:lvl w:ilvl="1" w:tplc="891ED7D4">
      <w:start w:val="18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22C2DE2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1A7DAE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18F116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2F43712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7121576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65016A8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7E6AE40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3C7971"/>
    <w:multiLevelType w:val="hybridMultilevel"/>
    <w:tmpl w:val="4AEEEB26"/>
    <w:lvl w:ilvl="0" w:tplc="5DF88878">
      <w:start w:val="1"/>
      <w:numFmt w:val="bullet"/>
      <w:lvlText w:val="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  <w:sz w:val="13"/>
        <w:szCs w:val="13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3D790120"/>
    <w:multiLevelType w:val="hybridMultilevel"/>
    <w:tmpl w:val="C5E8FC3C"/>
    <w:lvl w:ilvl="0" w:tplc="22125B54">
      <w:start w:val="1"/>
      <w:numFmt w:val="bullet"/>
      <w:lvlText w:val="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</w:rPr>
    </w:lvl>
    <w:lvl w:ilvl="1" w:tplc="2E1C4D38" w:tentative="1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 w:tplc="B1EAEDFA" w:tentative="1">
      <w:start w:val="1"/>
      <w:numFmt w:val="bullet"/>
      <w:lvlText w:val="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3F7A74EE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4" w:tplc="2DDE16C0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5" w:tplc="18084B0E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B63C9756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7" w:tplc="2BDE63F6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8" w:tplc="643270F8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 w15:restartNumberingAfterBreak="0">
    <w:nsid w:val="58BE3853"/>
    <w:multiLevelType w:val="hybridMultilevel"/>
    <w:tmpl w:val="06D45FDE"/>
    <w:lvl w:ilvl="0" w:tplc="29C6D814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34A0246" w:tentative="1">
      <w:start w:val="1"/>
      <w:numFmt w:val="bullet"/>
      <w:lvlText w:val="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BAC8A42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8882F0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19EB472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B12EFF8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EDC4A4E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AE0FFF4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D6F934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F31D55"/>
    <w:multiLevelType w:val="multilevel"/>
    <w:tmpl w:val="3C6AF8AE"/>
    <w:lvl w:ilvl="0">
      <w:start w:val="2"/>
      <w:numFmt w:val="decimal"/>
      <w:lvlText w:val="%1）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5D780A8D"/>
    <w:multiLevelType w:val="hybridMultilevel"/>
    <w:tmpl w:val="CFF81704"/>
    <w:lvl w:ilvl="0" w:tplc="69B25C08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FA8DD9A" w:tentative="1">
      <w:start w:val="1"/>
      <w:numFmt w:val="bullet"/>
      <w:lvlText w:val="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E341890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45050A8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0BA90A4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C246638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CE47C6A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2C4B164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91667BC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5F01C3"/>
    <w:multiLevelType w:val="hybridMultilevel"/>
    <w:tmpl w:val="35DA72B8"/>
    <w:lvl w:ilvl="0" w:tplc="BBC61674">
      <w:start w:val="2"/>
      <w:numFmt w:val="decimal"/>
      <w:lvlText w:val="%1）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DF88878">
      <w:start w:val="1"/>
      <w:numFmt w:val="bullet"/>
      <w:lvlText w:val=""/>
      <w:lvlJc w:val="left"/>
      <w:pPr>
        <w:tabs>
          <w:tab w:val="num" w:pos="1200"/>
        </w:tabs>
        <w:ind w:left="1200" w:hanging="420"/>
      </w:pPr>
      <w:rPr>
        <w:rFonts w:ascii="Wingdings" w:hAnsi="Wingdings" w:hint="default"/>
        <w:sz w:val="13"/>
        <w:szCs w:val="13"/>
      </w:rPr>
    </w:lvl>
    <w:lvl w:ilvl="2" w:tplc="5DF88878">
      <w:start w:val="1"/>
      <w:numFmt w:val="bullet"/>
      <w:lvlText w:val=""/>
      <w:lvlJc w:val="left"/>
      <w:pPr>
        <w:tabs>
          <w:tab w:val="num" w:pos="1620"/>
        </w:tabs>
        <w:ind w:left="1620" w:hanging="420"/>
      </w:pPr>
      <w:rPr>
        <w:rFonts w:ascii="Wingdings" w:hAnsi="Wingdings" w:hint="default"/>
        <w:sz w:val="13"/>
        <w:szCs w:val="13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15" w15:restartNumberingAfterBreak="0">
    <w:nsid w:val="5FBA2E50"/>
    <w:multiLevelType w:val="hybridMultilevel"/>
    <w:tmpl w:val="DBCCD5E0"/>
    <w:lvl w:ilvl="0" w:tplc="5DF88878">
      <w:start w:val="1"/>
      <w:numFmt w:val="bullet"/>
      <w:lvlText w:val="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  <w:sz w:val="13"/>
        <w:szCs w:val="13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63796108"/>
    <w:multiLevelType w:val="hybridMultilevel"/>
    <w:tmpl w:val="69DA5520"/>
    <w:lvl w:ilvl="0" w:tplc="2F203948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AEAE7E6">
      <w:start w:val="18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B10C828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8E81EC0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1B22C6C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24C192A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5CAD936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EDE82F6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E1ED7AE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8A41FD"/>
    <w:multiLevelType w:val="hybridMultilevel"/>
    <w:tmpl w:val="A1361DB6"/>
    <w:lvl w:ilvl="0" w:tplc="5DF88878">
      <w:start w:val="1"/>
      <w:numFmt w:val="bullet"/>
      <w:lvlText w:val="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  <w:sz w:val="13"/>
        <w:szCs w:val="13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7952237E"/>
    <w:multiLevelType w:val="hybridMultilevel"/>
    <w:tmpl w:val="C172D7DA"/>
    <w:lvl w:ilvl="0" w:tplc="70C21BC6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D3E74BE">
      <w:start w:val="193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5020CD4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EE4895C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CA25866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88AF574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6E440B0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AD852E2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2889796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8"/>
  </w:num>
  <w:num w:numId="3">
    <w:abstractNumId w:val="14"/>
  </w:num>
  <w:num w:numId="4">
    <w:abstractNumId w:val="6"/>
  </w:num>
  <w:num w:numId="5">
    <w:abstractNumId w:val="4"/>
  </w:num>
  <w:num w:numId="6">
    <w:abstractNumId w:val="12"/>
  </w:num>
  <w:num w:numId="7">
    <w:abstractNumId w:val="17"/>
  </w:num>
  <w:num w:numId="8">
    <w:abstractNumId w:val="5"/>
  </w:num>
  <w:num w:numId="9">
    <w:abstractNumId w:val="2"/>
  </w:num>
  <w:num w:numId="10">
    <w:abstractNumId w:val="13"/>
  </w:num>
  <w:num w:numId="11">
    <w:abstractNumId w:val="16"/>
  </w:num>
  <w:num w:numId="12">
    <w:abstractNumId w:val="15"/>
  </w:num>
  <w:num w:numId="13">
    <w:abstractNumId w:val="9"/>
  </w:num>
  <w:num w:numId="14">
    <w:abstractNumId w:val="11"/>
  </w:num>
  <w:num w:numId="15">
    <w:abstractNumId w:val="7"/>
  </w:num>
  <w:num w:numId="16">
    <w:abstractNumId w:val="1"/>
  </w:num>
  <w:num w:numId="17">
    <w:abstractNumId w:val="3"/>
  </w:num>
  <w:num w:numId="18">
    <w:abstractNumId w:val="8"/>
  </w:num>
  <w:num w:numId="19">
    <w:abstractNumId w:val="10"/>
  </w:num>
  <w:abstractNum w:abstractNumId="19">
    <w:multiLevelType w:val="singleLevel"/>
    <w:lvl w:ilvl="0">
      <w:start w:val="1"/>
      <w:numFmt w:val="bullet"/>
      <w:lvlText w:val="•"/>
      <w:lvlJc w:val="left"/>
      <w:pPr>
        <w:tabs>
          <w:tab w:val="num" w:pos="420"/>
        </w:tabs>
        <w:ind w:left="420" w:hanging="210"/>
      </w:pPr>
    </w:lvl>
  </w:abstract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DC3"/>
    <w:rsid w:val="00040CB8"/>
    <w:rsid w:val="000520B9"/>
    <w:rsid w:val="00056DC3"/>
    <w:rsid w:val="00086B26"/>
    <w:rsid w:val="000B62BA"/>
    <w:rsid w:val="000E6E61"/>
    <w:rsid w:val="000F2567"/>
    <w:rsid w:val="00140940"/>
    <w:rsid w:val="00141DB7"/>
    <w:rsid w:val="001C0B35"/>
    <w:rsid w:val="0021315C"/>
    <w:rsid w:val="00213715"/>
    <w:rsid w:val="002313C9"/>
    <w:rsid w:val="002B7CAA"/>
    <w:rsid w:val="002E392C"/>
    <w:rsid w:val="0031038A"/>
    <w:rsid w:val="00333F36"/>
    <w:rsid w:val="003B40D6"/>
    <w:rsid w:val="003F4FF9"/>
    <w:rsid w:val="004201A1"/>
    <w:rsid w:val="004B14A3"/>
    <w:rsid w:val="00514B90"/>
    <w:rsid w:val="00522AB7"/>
    <w:rsid w:val="00535ED2"/>
    <w:rsid w:val="0056319D"/>
    <w:rsid w:val="00582955"/>
    <w:rsid w:val="005C1E5C"/>
    <w:rsid w:val="005C5B06"/>
    <w:rsid w:val="005F00B9"/>
    <w:rsid w:val="005F1980"/>
    <w:rsid w:val="006265D9"/>
    <w:rsid w:val="006B659F"/>
    <w:rsid w:val="006C05F4"/>
    <w:rsid w:val="006D710E"/>
    <w:rsid w:val="00741A6E"/>
    <w:rsid w:val="0078028D"/>
    <w:rsid w:val="00797025"/>
    <w:rsid w:val="007F221A"/>
    <w:rsid w:val="00826C78"/>
    <w:rsid w:val="00836FB5"/>
    <w:rsid w:val="008819CF"/>
    <w:rsid w:val="008827E7"/>
    <w:rsid w:val="008C214A"/>
    <w:rsid w:val="00955D2E"/>
    <w:rsid w:val="009B7A4A"/>
    <w:rsid w:val="00A33F7B"/>
    <w:rsid w:val="00AE6595"/>
    <w:rsid w:val="00B056A3"/>
    <w:rsid w:val="00B46AE3"/>
    <w:rsid w:val="00B672BA"/>
    <w:rsid w:val="00BD4912"/>
    <w:rsid w:val="00C91CCA"/>
    <w:rsid w:val="00CA27E6"/>
    <w:rsid w:val="00DD4EFB"/>
    <w:rsid w:val="00E71C29"/>
    <w:rsid w:val="00EC23B3"/>
    <w:rsid w:val="00EC5936"/>
    <w:rsid w:val="00F947C7"/>
    <w:rsid w:val="00FB218E"/>
    <w:rsid w:val="00FB2B9D"/>
    <w:rsid w:val="00FC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F7E4EE4"/>
  <w15:chartTrackingRefBased/>
  <w15:docId w15:val="{A16822BE-4E90-4EB2-91DB-8377E7CFB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2313C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4B14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4B14A3"/>
    <w:rPr>
      <w:kern w:val="2"/>
      <w:sz w:val="18"/>
      <w:szCs w:val="18"/>
    </w:rPr>
  </w:style>
  <w:style w:type="paragraph" w:styleId="a6">
    <w:name w:val="footer"/>
    <w:basedOn w:val="a"/>
    <w:link w:val="a7"/>
    <w:rsid w:val="004B14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rsid w:val="004B14A3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14094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6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92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4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6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1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9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7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9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20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8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53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18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79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2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2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9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98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8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91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0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85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77</Words>
  <Characters>442</Characters>
  <Application>Microsoft Office Word</Application>
  <DocSecurity>0</DocSecurity>
  <Lines>3</Lines>
  <Paragraphs>1</Paragraphs>
  <ScaleCrop>false</ScaleCrop>
  <Company>ecust</Company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IssueScope 项目总结报告</dc:title>
  <dc:subject>A8 GitHub仓库问答与Issue分析系统</dc:subject>
  <dc:creator>第6组</dc:creator>
  <cp:keywords/>
  <dc:description/>
  <cp:lastModifiedBy>beijun shen</cp:lastModifiedBy>
  <cp:revision>8</cp:revision>
  <dcterms:created xsi:type="dcterms:W3CDTF">2020-09-03T11:04:00Z</dcterms:created>
  <dcterms:modified xsi:type="dcterms:W3CDTF">2026-07-28T08:17:00Z</dcterms:modified>
</cp:coreProperties>
</file>