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120"/>
      </w:pPr>
      <w:r>
        <w:t>Fine-Grained Classification of Saudi Local Sheep Breeds Using Deep Learning: A Comparative Study of EfficientNet-B3, ConvNeXt-Tiny, and DINOv2</w:t>
      </w:r>
    </w:p>
    <w:p>
      <w:pPr>
        <w:spacing w:after="80"/>
        <w:jc w:val="center"/>
      </w:pPr>
      <w:r>
        <w:rPr>
          <w:sz w:val="22"/>
        </w:rPr>
        <w:t>Tameem Alhejji, Abdulelah Altuwaijiri, Faris Alsofayyan, Bader Alshehri, Sami Al Irhain, Mohammed Alsenan</w:t>
      </w:r>
    </w:p>
    <w:p>
      <w:pPr>
        <w:spacing w:after="200"/>
        <w:jc w:val="center"/>
      </w:pPr>
      <w:r>
        <w:rPr>
          <w:i/>
          <w:sz w:val="20"/>
        </w:rPr>
        <w:t>Department of Computer Science, Imam Abdulrahman Bin Faisal University, Dammam, Saudi Arabia</w:t>
      </w:r>
    </w:p>
    <w:p>
      <w:pPr>
        <w:spacing w:before="0" w:after="60"/>
        <w:jc w:val="both"/>
      </w:pPr>
      <w:r>
        <w:rPr>
          <w:b/>
          <w:i/>
          <w:sz w:val="20"/>
        </w:rPr>
        <w:t>Abstract</w:t>
      </w:r>
      <w:r>
        <w:rPr>
          <w:b w:val="0"/>
          <w:i w:val="0"/>
          <w:sz w:val="20"/>
        </w:rPr>
        <w:t>—Accurate identification of local sheep breeds is critical for livestock management, agricultural planning, and cultural heritage preservation in Saudi Arabia. Manual breed identification by visual inspection is error-prone and requires expert knowledge, motivating an automated computer vision approach. In this paper, we present a comparative study of three deep learning architectures — EfficientNet-B3, ConvNeXt-Tiny, and DINOv2-ViT-S — for fine-grained classification of six Saudi local sheep breeds: Naeimi, Najdi, Harri, Sawakni, Roman, and Barbari. We compiled a dataset of 612 deduplicated images from two public sources, applied stratified splitting, and trained all models using a two-phase transfer learning strategy with extensive data augmentation. ConvNeXt-Tiny achieved the highest test accuracy of 97.8% (macro F1: 0.963), closely followed by DINOv2-ViT-S at 97.2% (macro F1: 0.970), while EfficientNet-B3 achieved 88.2% (macro F1: 0.855). Grad-CAM visualizations reveal that each architecture relies on distinct visual features — body shape, wool texture, and facial structure — to discriminate breeds. Our results demonstrate that modern convolutional architectures and self-supervised vision transformers both achieve strong performance on small-scale livestock datasets, with ConvNeXt providing the best accuracy and DINOv2 showing competitive performance even with limited fine-tuning.</w:t>
      </w:r>
    </w:p>
    <w:p>
      <w:pPr>
        <w:spacing w:before="0" w:after="160"/>
        <w:jc w:val="both"/>
      </w:pPr>
      <w:r>
        <w:rPr>
          <w:b/>
          <w:i/>
          <w:sz w:val="20"/>
        </w:rPr>
        <w:t>Index Terms</w:t>
      </w:r>
      <w:r>
        <w:rPr>
          <w:b w:val="0"/>
          <w:i w:val="0"/>
          <w:sz w:val="20"/>
        </w:rPr>
        <w:t>—sheep breed classification, deep learning, transfer learning, ConvNeXt, DINOv2, EfficientNet, Grad-CAM, Saudi Arabia.</w:t>
      </w:r>
    </w:p>
    <w:p>
      <w:pPr>
        <w:pStyle w:val="Heading1"/>
        <w:spacing w:before="160" w:after="60"/>
      </w:pPr>
      <w:r>
        <w:t>I. INTRODUCTION</w:t>
      </w:r>
    </w:p>
    <w:p>
      <w:pPr>
        <w:spacing w:after="80" w:before="0"/>
        <w:jc w:val="both"/>
      </w:pPr>
      <w:r>
        <w:rPr>
          <w:sz w:val="20"/>
        </w:rPr>
        <w:t>Saudi Arabia has a rich heritage of local sheep breeds, each adapted to specific environmental conditions and valued for distinct characteristics in meat quality, wool production, and hardiness. The six primary breeds — Naeimi, Najdi, Harri, Sawakni, Roman, and Barbari — are economically significant, particularly during the Eid Al-Adha season when millions of animals are traded. Accurate breed identification is essential for fair pricing, selective breeding programs, and genetic conservation efforts.</w:t>
      </w:r>
    </w:p>
    <w:p>
      <w:pPr>
        <w:spacing w:after="80" w:before="0"/>
        <w:jc w:val="both"/>
      </w:pPr>
      <w:r>
        <w:rPr>
          <w:sz w:val="20"/>
        </w:rPr>
        <w:t>Traditional breed identification relies on the expertise of experienced herders and veterinarians who assess physical traits such as coat color, body conformation, horn shape, and facial features. This approach is subjective, time-consuming, and impractical at scale. An automated, vision-based classification system would significantly benefit farmers, traders, and regulatory bodies.</w:t>
      </w:r>
    </w:p>
    <w:p>
      <w:pPr>
        <w:spacing w:after="80" w:before="0"/>
        <w:jc w:val="both"/>
      </w:pPr>
      <w:r>
        <w:rPr>
          <w:sz w:val="20"/>
        </w:rPr>
        <w:t>Recent advances in deep learning have demonstrated remarkable success in fine-grained visual recognition tasks, including plant disease detection, bird species identification, and fish freshness assessment. However, livestock breed classification — particularly for Arabian sheep — remains understudied, with limited labeled datasets and few published benchmarks.</w:t>
      </w:r>
    </w:p>
    <w:p>
      <w:pPr>
        <w:spacing w:after="80" w:before="0"/>
        <w:jc w:val="both"/>
      </w:pPr>
      <w:r>
        <w:rPr>
          <w:sz w:val="20"/>
        </w:rPr>
        <w:t>This paper investigates the following research question: Can modern deep learning architectures achieve reliable fine-grained classification of Saudi local sheep breeds using a small, publicly available dataset? Specifically, we compare three architecturally distinct models: EfficientNet-B3, a parameter-efficient CNN; ConvNeXt-Tiny, a modernized convolutional network; and DINOv2-ViT-S, a vision transformer pretrained with self-supervised learning on a large unlabeled corpus.</w:t>
      </w:r>
    </w:p>
    <w:p>
      <w:pPr>
        <w:spacing w:after="80" w:before="0"/>
        <w:jc w:val="both"/>
      </w:pPr>
      <w:r>
        <w:rPr>
          <w:sz w:val="20"/>
        </w:rPr>
        <w:t>Our main contributions are: (1) a cleaned, deduplicated benchmark of 612 images across 6 Saudi sheep breeds compiled from two public sources; (2) a systematic comparison of three state-of-the-art architectures under identical training conditions; (3) Grad-CAM interpretability analysis revealing which visual regions each model uses for breed discrimination; and (4) publicly available code and trained models to support future research.</w:t>
      </w:r>
    </w:p>
    <w:p>
      <w:pPr>
        <w:pStyle w:val="Heading1"/>
        <w:spacing w:before="160" w:after="60"/>
      </w:pPr>
      <w:r>
        <w:t>II. RELATED WORK</w:t>
      </w:r>
    </w:p>
    <w:p>
      <w:pPr>
        <w:spacing w:after="80" w:before="0"/>
        <w:jc w:val="both"/>
      </w:pPr>
      <w:r>
        <w:rPr>
          <w:sz w:val="20"/>
        </w:rPr>
        <w:t>Deep learning has been widely applied to animal classification tasks. He et al. [1] introduced ResNet, demonstrating the power of residual connections for image classification and establishing a foundational baseline for transfer learning in agriculture and livestock management.</w:t>
      </w:r>
    </w:p>
    <w:p>
      <w:pPr>
        <w:spacing w:after="80" w:before="0"/>
        <w:jc w:val="both"/>
      </w:pPr>
      <w:r>
        <w:rPr>
          <w:sz w:val="20"/>
        </w:rPr>
        <w:t>Several studies have addressed sheep breed classification. Neary et al. [6] applied VGG16, GoogLeNet, and ResNet-50 to classify four Australian sheep breeds, achieving F1 scores up to 93.4% on 1,680 images. Ragab et al. [7] proposed SheepFormers, a ViT-based approach achieving 98% accuracy on the same dataset, demonstrating the effectiveness of vision transformers for small livestock datasets. Zhao et al. [8] constructed a dataset of 5,200 face images of 10 Chinese sheep breeds and trained a modified YOLOv5 architecture, reporting strong on-farm deployment performance.</w:t>
      </w:r>
    </w:p>
    <w:p>
      <w:pPr>
        <w:spacing w:after="80" w:before="0"/>
        <w:jc w:val="both"/>
      </w:pPr>
      <w:r>
        <w:rPr>
          <w:sz w:val="20"/>
        </w:rPr>
        <w:t>For fine-grained visual recognition, Tan and Le [2] proposed EfficientNet using compound scaling to achieve state-of-the-art results with fewer parameters. Liu et al. [3] proposed ConvNeXt, modernizing ResNet with ViT-inspired design choices — larger kernels, depthwise convolutions, and LayerNorm. Oquab et al. [4] introduced DINOv2, training vision transformers with self-supervised learning on 142 million images, producing features that generalize strongly to downstream tasks in low-data regimes.</w:t>
      </w:r>
    </w:p>
    <w:p>
      <w:pPr>
        <w:spacing w:after="80" w:before="0"/>
        <w:jc w:val="both"/>
      </w:pPr>
      <w:r>
        <w:rPr>
          <w:sz w:val="20"/>
        </w:rPr>
        <w:t>Despite these advances, no published study has systematically compared modern CNN and ViT architectures on Arabian sheep breeds under controlled conditions. Our work fills this gap.</w:t>
      </w:r>
    </w:p>
    <w:p>
      <w:pPr>
        <w:pStyle w:val="Heading1"/>
        <w:spacing w:before="160" w:after="60"/>
      </w:pPr>
      <w:r>
        <w:t>III. DATASET AND PREPROCESSING</w:t>
      </w:r>
    </w:p>
    <w:p>
      <w:pPr>
        <w:pStyle w:val="Heading2"/>
        <w:spacing w:before="80" w:after="40"/>
      </w:pPr>
      <w:r>
        <w:t>A. Data Collection</w:t>
      </w:r>
    </w:p>
    <w:p>
      <w:pPr>
        <w:spacing w:after="80" w:before="0"/>
        <w:jc w:val="both"/>
      </w:pPr>
      <w:r>
        <w:rPr>
          <w:sz w:val="20"/>
        </w:rPr>
        <w:t>We compiled a dataset from two publicly available sources. The first is the Roboflow sheep-breeds-4ytic dataset (MIT license), containing 680 labeled images across six Saudi sheep breeds. The second is the Kaggle Sheep Classification Challenge 2025 dataset, containing 682 labeled images across the same six breeds plus a Goat class, which was excluded. After merging both sources, perceptual hash-based deduplication (average hashing, hash size 8) reduced the combined pool from 1,362 to 612 unique images, revealing significant overlap between the two sources.</w:t>
      </w:r>
    </w:p>
    <w:p>
      <w:pPr>
        <w:pStyle w:val="Heading2"/>
        <w:spacing w:before="80" w:after="40"/>
      </w:pPr>
      <w:r>
        <w:t>B. Class Distribution</w:t>
      </w:r>
    </w:p>
    <w:p>
      <w:pPr>
        <w:spacing w:before="120" w:after="40"/>
        <w:jc w:val="center"/>
      </w:pPr>
      <w:r>
        <w:rPr>
          <w:b/>
          <w:sz w:val="18"/>
        </w:rPr>
        <w:t>TABLE I</w:t>
      </w:r>
    </w:p>
    <w:p>
      <w:pPr>
        <w:spacing w:before="120" w:after="40"/>
        <w:jc w:val="center"/>
      </w:pPr>
      <w:r>
        <w:rPr>
          <w:b/>
          <w:sz w:val="18"/>
        </w:rPr>
        <w:t>CLASS DISTRIBUTION AFTER DEDUPLICATION</w:t>
      </w:r>
    </w:p>
    <w:tbl>
      <w:tblPr>
        <w:tblW w:type="auto" w:w="0"/>
        <w:tblLook w:firstColumn="1" w:firstRow="1" w:lastColumn="0" w:lastRow="0" w:noHBand="0" w:noVBand="1" w:val="04A0"/>
      </w:tblPr>
      <w:tblGrid>
        <w:gridCol w:w="2074"/>
        <w:gridCol w:w="2074"/>
        <w:gridCol w:w="2074"/>
        <w:gridCol w:w="2074"/>
        <w:gridCol w:w="2074"/>
      </w:tblGrid>
      <w:tr>
        <w:tc>
          <w:tcPr>
            <w:tcW w:type="dxa" w:w="1296"/>
            <w:shd w:val="clear" w:color="auto" w:fill="D0D0D0"/>
          </w:tcPr>
          <w:p>
            <w:pPr>
              <w:jc w:val="center"/>
            </w:pPr>
            <w:r>
              <w:rPr>
                <w:b/>
                <w:sz w:val="16"/>
              </w:rPr>
              <w:t>Class</w:t>
            </w:r>
          </w:p>
        </w:tc>
        <w:tc>
          <w:tcPr>
            <w:tcW w:type="dxa" w:w="864"/>
            <w:shd w:val="clear" w:color="auto" w:fill="D0D0D0"/>
          </w:tcPr>
          <w:p>
            <w:pPr>
              <w:jc w:val="center"/>
            </w:pPr>
            <w:r>
              <w:rPr>
                <w:b/>
                <w:sz w:val="16"/>
              </w:rPr>
              <w:t>Total</w:t>
            </w:r>
          </w:p>
        </w:tc>
        <w:tc>
          <w:tcPr>
            <w:tcW w:type="dxa" w:w="864"/>
            <w:shd w:val="clear" w:color="auto" w:fill="D0D0D0"/>
          </w:tcPr>
          <w:p>
            <w:pPr>
              <w:jc w:val="center"/>
            </w:pPr>
            <w:r>
              <w:rPr>
                <w:b/>
                <w:sz w:val="16"/>
              </w:rPr>
              <w:t>Train</w:t>
            </w:r>
          </w:p>
        </w:tc>
        <w:tc>
          <w:tcPr>
            <w:tcW w:type="dxa" w:w="720"/>
            <w:shd w:val="clear" w:color="auto" w:fill="D0D0D0"/>
          </w:tcPr>
          <w:p>
            <w:pPr>
              <w:jc w:val="center"/>
            </w:pPr>
            <w:r>
              <w:rPr>
                <w:b/>
                <w:sz w:val="16"/>
              </w:rPr>
              <w:t>Val</w:t>
            </w:r>
          </w:p>
        </w:tc>
        <w:tc>
          <w:tcPr>
            <w:tcW w:type="dxa" w:w="720"/>
            <w:shd w:val="clear" w:color="auto" w:fill="D0D0D0"/>
          </w:tcPr>
          <w:p>
            <w:pPr>
              <w:jc w:val="center"/>
            </w:pPr>
            <w:r>
              <w:rPr>
                <w:b/>
                <w:sz w:val="16"/>
              </w:rPr>
              <w:t>Test</w:t>
            </w:r>
          </w:p>
        </w:tc>
      </w:tr>
      <w:tr>
        <w:tc>
          <w:tcPr>
            <w:tcW w:type="dxa" w:w="1296"/>
          </w:tcPr>
          <w:p>
            <w:pPr>
              <w:jc w:val="center"/>
            </w:pPr>
            <w:r>
              <w:rPr>
                <w:sz w:val="16"/>
              </w:rPr>
              <w:t>Naeimi</w:t>
            </w:r>
          </w:p>
        </w:tc>
        <w:tc>
          <w:tcPr>
            <w:tcW w:type="dxa" w:w="864"/>
          </w:tcPr>
          <w:p>
            <w:pPr>
              <w:jc w:val="center"/>
            </w:pPr>
            <w:r>
              <w:rPr>
                <w:sz w:val="16"/>
              </w:rPr>
              <w:t>269</w:t>
            </w:r>
          </w:p>
        </w:tc>
        <w:tc>
          <w:tcPr>
            <w:tcW w:type="dxa" w:w="864"/>
          </w:tcPr>
          <w:p>
            <w:pPr>
              <w:jc w:val="center"/>
            </w:pPr>
            <w:r>
              <w:rPr>
                <w:sz w:val="16"/>
              </w:rPr>
              <w:t>188</w:t>
            </w:r>
          </w:p>
        </w:tc>
        <w:tc>
          <w:tcPr>
            <w:tcW w:type="dxa" w:w="720"/>
          </w:tcPr>
          <w:p>
            <w:pPr>
              <w:jc w:val="center"/>
            </w:pPr>
            <w:r>
              <w:rPr>
                <w:sz w:val="16"/>
              </w:rPr>
              <w:t>40</w:t>
            </w:r>
          </w:p>
        </w:tc>
        <w:tc>
          <w:tcPr>
            <w:tcW w:type="dxa" w:w="720"/>
          </w:tcPr>
          <w:p>
            <w:pPr>
              <w:jc w:val="center"/>
            </w:pPr>
            <w:r>
              <w:rPr>
                <w:sz w:val="16"/>
              </w:rPr>
              <w:t>41</w:t>
            </w:r>
          </w:p>
        </w:tc>
      </w:tr>
      <w:tr>
        <w:tc>
          <w:tcPr>
            <w:tcW w:type="dxa" w:w="1296"/>
          </w:tcPr>
          <w:p>
            <w:pPr>
              <w:jc w:val="center"/>
            </w:pPr>
            <w:r>
              <w:rPr>
                <w:sz w:val="16"/>
              </w:rPr>
              <w:t>Najdi</w:t>
            </w:r>
          </w:p>
        </w:tc>
        <w:tc>
          <w:tcPr>
            <w:tcW w:type="dxa" w:w="864"/>
          </w:tcPr>
          <w:p>
            <w:pPr>
              <w:jc w:val="center"/>
            </w:pPr>
            <w:r>
              <w:rPr>
                <w:sz w:val="16"/>
              </w:rPr>
              <w:t>75</w:t>
            </w:r>
          </w:p>
        </w:tc>
        <w:tc>
          <w:tcPr>
            <w:tcW w:type="dxa" w:w="864"/>
          </w:tcPr>
          <w:p>
            <w:pPr>
              <w:jc w:val="center"/>
            </w:pPr>
            <w:r>
              <w:rPr>
                <w:sz w:val="16"/>
              </w:rPr>
              <w:t>52</w:t>
            </w:r>
          </w:p>
        </w:tc>
        <w:tc>
          <w:tcPr>
            <w:tcW w:type="dxa" w:w="720"/>
          </w:tcPr>
          <w:p>
            <w:pPr>
              <w:jc w:val="center"/>
            </w:pPr>
            <w:r>
              <w:rPr>
                <w:sz w:val="16"/>
              </w:rPr>
              <w:t>11</w:t>
            </w:r>
          </w:p>
        </w:tc>
        <w:tc>
          <w:tcPr>
            <w:tcW w:type="dxa" w:w="720"/>
          </w:tcPr>
          <w:p>
            <w:pPr>
              <w:jc w:val="center"/>
            </w:pPr>
            <w:r>
              <w:rPr>
                <w:sz w:val="16"/>
              </w:rPr>
              <w:t>12</w:t>
            </w:r>
          </w:p>
        </w:tc>
      </w:tr>
      <w:tr>
        <w:tc>
          <w:tcPr>
            <w:tcW w:type="dxa" w:w="1296"/>
          </w:tcPr>
          <w:p>
            <w:pPr>
              <w:jc w:val="center"/>
            </w:pPr>
            <w:r>
              <w:rPr>
                <w:sz w:val="16"/>
              </w:rPr>
              <w:t>Harri</w:t>
            </w:r>
          </w:p>
        </w:tc>
        <w:tc>
          <w:tcPr>
            <w:tcW w:type="dxa" w:w="864"/>
          </w:tcPr>
          <w:p>
            <w:pPr>
              <w:jc w:val="center"/>
            </w:pPr>
            <w:r>
              <w:rPr>
                <w:sz w:val="16"/>
              </w:rPr>
              <w:t>66</w:t>
            </w:r>
          </w:p>
        </w:tc>
        <w:tc>
          <w:tcPr>
            <w:tcW w:type="dxa" w:w="864"/>
          </w:tcPr>
          <w:p>
            <w:pPr>
              <w:jc w:val="center"/>
            </w:pPr>
            <w:r>
              <w:rPr>
                <w:sz w:val="16"/>
              </w:rPr>
              <w:t>46</w:t>
            </w:r>
          </w:p>
        </w:tc>
        <w:tc>
          <w:tcPr>
            <w:tcW w:type="dxa" w:w="720"/>
          </w:tcPr>
          <w:p>
            <w:pPr>
              <w:jc w:val="center"/>
            </w:pPr>
            <w:r>
              <w:rPr>
                <w:sz w:val="16"/>
              </w:rPr>
              <w:t>10</w:t>
            </w:r>
          </w:p>
        </w:tc>
        <w:tc>
          <w:tcPr>
            <w:tcW w:type="dxa" w:w="720"/>
          </w:tcPr>
          <w:p>
            <w:pPr>
              <w:jc w:val="center"/>
            </w:pPr>
            <w:r>
              <w:rPr>
                <w:sz w:val="16"/>
              </w:rPr>
              <w:t>10</w:t>
            </w:r>
          </w:p>
        </w:tc>
      </w:tr>
      <w:tr>
        <w:tc>
          <w:tcPr>
            <w:tcW w:type="dxa" w:w="1296"/>
          </w:tcPr>
          <w:p>
            <w:pPr>
              <w:jc w:val="center"/>
            </w:pPr>
            <w:r>
              <w:rPr>
                <w:sz w:val="16"/>
              </w:rPr>
              <w:t>Sawakni</w:t>
            </w:r>
          </w:p>
        </w:tc>
        <w:tc>
          <w:tcPr>
            <w:tcW w:type="dxa" w:w="864"/>
          </w:tcPr>
          <w:p>
            <w:pPr>
              <w:jc w:val="center"/>
            </w:pPr>
            <w:r>
              <w:rPr>
                <w:sz w:val="16"/>
              </w:rPr>
              <w:t>91</w:t>
            </w:r>
          </w:p>
        </w:tc>
        <w:tc>
          <w:tcPr>
            <w:tcW w:type="dxa" w:w="864"/>
          </w:tcPr>
          <w:p>
            <w:pPr>
              <w:jc w:val="center"/>
            </w:pPr>
            <w:r>
              <w:rPr>
                <w:sz w:val="16"/>
              </w:rPr>
              <w:t>63</w:t>
            </w:r>
          </w:p>
        </w:tc>
        <w:tc>
          <w:tcPr>
            <w:tcW w:type="dxa" w:w="720"/>
          </w:tcPr>
          <w:p>
            <w:pPr>
              <w:jc w:val="center"/>
            </w:pPr>
            <w:r>
              <w:rPr>
                <w:sz w:val="16"/>
              </w:rPr>
              <w:t>14</w:t>
            </w:r>
          </w:p>
        </w:tc>
        <w:tc>
          <w:tcPr>
            <w:tcW w:type="dxa" w:w="720"/>
          </w:tcPr>
          <w:p>
            <w:pPr>
              <w:jc w:val="center"/>
            </w:pPr>
            <w:r>
              <w:rPr>
                <w:sz w:val="16"/>
              </w:rPr>
              <w:t>14</w:t>
            </w:r>
          </w:p>
        </w:tc>
      </w:tr>
      <w:tr>
        <w:tc>
          <w:tcPr>
            <w:tcW w:type="dxa" w:w="1296"/>
          </w:tcPr>
          <w:p>
            <w:pPr>
              <w:jc w:val="center"/>
            </w:pPr>
            <w:r>
              <w:rPr>
                <w:sz w:val="16"/>
              </w:rPr>
              <w:t>Roman</w:t>
            </w:r>
          </w:p>
        </w:tc>
        <w:tc>
          <w:tcPr>
            <w:tcW w:type="dxa" w:w="864"/>
          </w:tcPr>
          <w:p>
            <w:pPr>
              <w:jc w:val="center"/>
            </w:pPr>
            <w:r>
              <w:rPr>
                <w:sz w:val="16"/>
              </w:rPr>
              <w:t>76</w:t>
            </w:r>
          </w:p>
        </w:tc>
        <w:tc>
          <w:tcPr>
            <w:tcW w:type="dxa" w:w="864"/>
          </w:tcPr>
          <w:p>
            <w:pPr>
              <w:jc w:val="center"/>
            </w:pPr>
            <w:r>
              <w:rPr>
                <w:sz w:val="16"/>
              </w:rPr>
              <w:t>53</w:t>
            </w:r>
          </w:p>
        </w:tc>
        <w:tc>
          <w:tcPr>
            <w:tcW w:type="dxa" w:w="720"/>
          </w:tcPr>
          <w:p>
            <w:pPr>
              <w:jc w:val="center"/>
            </w:pPr>
            <w:r>
              <w:rPr>
                <w:sz w:val="16"/>
              </w:rPr>
              <w:t>11</w:t>
            </w:r>
          </w:p>
        </w:tc>
        <w:tc>
          <w:tcPr>
            <w:tcW w:type="dxa" w:w="720"/>
          </w:tcPr>
          <w:p>
            <w:pPr>
              <w:jc w:val="center"/>
            </w:pPr>
            <w:r>
              <w:rPr>
                <w:sz w:val="16"/>
              </w:rPr>
              <w:t>12</w:t>
            </w:r>
          </w:p>
        </w:tc>
      </w:tr>
      <w:tr>
        <w:tc>
          <w:tcPr>
            <w:tcW w:type="dxa" w:w="1296"/>
          </w:tcPr>
          <w:p>
            <w:pPr>
              <w:jc w:val="center"/>
            </w:pPr>
            <w:r>
              <w:rPr>
                <w:sz w:val="16"/>
              </w:rPr>
              <w:t>Barbari</w:t>
            </w:r>
          </w:p>
        </w:tc>
        <w:tc>
          <w:tcPr>
            <w:tcW w:type="dxa" w:w="864"/>
          </w:tcPr>
          <w:p>
            <w:pPr>
              <w:jc w:val="center"/>
            </w:pPr>
            <w:r>
              <w:rPr>
                <w:sz w:val="16"/>
              </w:rPr>
              <w:t>35</w:t>
            </w:r>
          </w:p>
        </w:tc>
        <w:tc>
          <w:tcPr>
            <w:tcW w:type="dxa" w:w="864"/>
          </w:tcPr>
          <w:p>
            <w:pPr>
              <w:jc w:val="center"/>
            </w:pPr>
            <w:r>
              <w:rPr>
                <w:sz w:val="16"/>
              </w:rPr>
              <w:t>24</w:t>
            </w:r>
          </w:p>
        </w:tc>
        <w:tc>
          <w:tcPr>
            <w:tcW w:type="dxa" w:w="720"/>
          </w:tcPr>
          <w:p>
            <w:pPr>
              <w:jc w:val="center"/>
            </w:pPr>
            <w:r>
              <w:rPr>
                <w:sz w:val="16"/>
              </w:rPr>
              <w:t>5</w:t>
            </w:r>
          </w:p>
        </w:tc>
        <w:tc>
          <w:tcPr>
            <w:tcW w:type="dxa" w:w="720"/>
          </w:tcPr>
          <w:p>
            <w:pPr>
              <w:jc w:val="center"/>
            </w:pPr>
            <w:r>
              <w:rPr>
                <w:sz w:val="16"/>
              </w:rPr>
              <w:t>6</w:t>
            </w:r>
          </w:p>
        </w:tc>
      </w:tr>
      <w:tr>
        <w:tc>
          <w:tcPr>
            <w:tcW w:type="dxa" w:w="1296"/>
          </w:tcPr>
          <w:p>
            <w:pPr>
              <w:jc w:val="center"/>
            </w:pPr>
            <w:r>
              <w:rPr>
                <w:sz w:val="16"/>
              </w:rPr>
              <w:t>Total</w:t>
            </w:r>
          </w:p>
        </w:tc>
        <w:tc>
          <w:tcPr>
            <w:tcW w:type="dxa" w:w="864"/>
          </w:tcPr>
          <w:p>
            <w:pPr>
              <w:jc w:val="center"/>
            </w:pPr>
            <w:r>
              <w:rPr>
                <w:sz w:val="16"/>
              </w:rPr>
              <w:t>612</w:t>
            </w:r>
          </w:p>
        </w:tc>
        <w:tc>
          <w:tcPr>
            <w:tcW w:type="dxa" w:w="864"/>
          </w:tcPr>
          <w:p>
            <w:pPr>
              <w:jc w:val="center"/>
            </w:pPr>
            <w:r>
              <w:rPr>
                <w:sz w:val="16"/>
              </w:rPr>
              <w:t>428</w:t>
            </w:r>
          </w:p>
        </w:tc>
        <w:tc>
          <w:tcPr>
            <w:tcW w:type="dxa" w:w="720"/>
          </w:tcPr>
          <w:p>
            <w:pPr>
              <w:jc w:val="center"/>
            </w:pPr>
            <w:r>
              <w:rPr>
                <w:sz w:val="16"/>
              </w:rPr>
              <w:t>92</w:t>
            </w:r>
          </w:p>
        </w:tc>
        <w:tc>
          <w:tcPr>
            <w:tcW w:type="dxa" w:w="720"/>
          </w:tcPr>
          <w:p>
            <w:pPr>
              <w:jc w:val="center"/>
            </w:pPr>
            <w:r>
              <w:rPr>
                <w:sz w:val="16"/>
              </w:rPr>
              <w:t>92</w:t>
            </w:r>
          </w:p>
        </w:tc>
      </w:tr>
    </w:tbl>
    <w:p>
      <w:pPr>
        <w:pStyle w:val="Heading2"/>
        <w:spacing w:before="80" w:after="40"/>
      </w:pPr>
      <w:r>
        <w:t>C. Preprocessing and Augmentation</w:t>
      </w:r>
    </w:p>
    <w:p>
      <w:pPr>
        <w:spacing w:after="80" w:before="0"/>
        <w:jc w:val="both"/>
      </w:pPr>
      <w:r>
        <w:rPr>
          <w:sz w:val="20"/>
        </w:rPr>
        <w:t>All images were resized to 224x224 pixels for EfficientNet-B3 and ConvNeXt-Tiny, and to 518x518 for DINOv2 (its native patch resolution). The dataset was split using stratified sampling: 70% training, 15% validation, and 15% test. Training augmentations included random horizontal flipping, rotation up to +/-15 degrees, color jitter (brightness, contrast, saturation, hue), random erasing (p=0.25), and mixup (alpha=0.4). All images were normalized using ImageNet mean and standard deviation (mean=[0.485, 0.456, 0.406], std=[0.229, 0.224, 0.225]).</w:t>
      </w:r>
    </w:p>
    <w:p>
      <w:pPr>
        <w:pStyle w:val="Heading1"/>
        <w:spacing w:before="160" w:after="60"/>
      </w:pPr>
      <w:r>
        <w:t>IV. METHODOLOGY</w:t>
      </w:r>
    </w:p>
    <w:p>
      <w:pPr>
        <w:pStyle w:val="Heading2"/>
        <w:spacing w:before="80" w:after="40"/>
      </w:pPr>
      <w:r>
        <w:t>A. Model Architectures</w:t>
      </w:r>
    </w:p>
    <w:p>
      <w:pPr>
        <w:spacing w:after="80" w:before="0"/>
        <w:jc w:val="both"/>
      </w:pPr>
      <w:r>
        <w:rPr>
          <w:sz w:val="20"/>
        </w:rPr>
        <w:t>EfficientNet-B3 serves as our efficient CNN baseline. It uses compound scaling to simultaneously balance network depth, width, and input resolution, achieving strong accuracy with approximately 12M parameters. It was pretrained on ImageNet-1k with supervised learning.</w:t>
      </w:r>
    </w:p>
    <w:p>
      <w:pPr>
        <w:spacing w:after="80" w:before="0"/>
        <w:jc w:val="both"/>
      </w:pPr>
      <w:r>
        <w:rPr>
          <w:sz w:val="20"/>
        </w:rPr>
        <w:t>ConvNeXt-Tiny is a modernized convolutional network incorporating ViT-inspired design elements: depthwise convolutions with 7x7 kernels, inverted bottleneck blocks, and LayerNorm. With approximately 28M parameters, it achieves performance comparable to Swin Transformers while retaining CNN inductive biases. It was pretrained on ImageNet-1k.</w:t>
      </w:r>
    </w:p>
    <w:p>
      <w:pPr>
        <w:spacing w:after="80" w:before="0"/>
        <w:jc w:val="both"/>
      </w:pPr>
      <w:r>
        <w:rPr>
          <w:sz w:val="20"/>
        </w:rPr>
        <w:t>DINOv2-ViT-S is a Vision Transformer with patch size 14 and approximately 22M parameters, pretrained using the DINOv2 self-supervised framework on the LVD-142M dataset — a curated corpus of 142 million diverse images. Its self-supervised pretraining produces highly generalizable features without requiring labeled data, making it well-suited for small downstream datasets.</w:t>
      </w:r>
    </w:p>
    <w:p>
      <w:pPr>
        <w:pStyle w:val="Heading2"/>
        <w:spacing w:before="80" w:after="40"/>
      </w:pPr>
      <w:r>
        <w:t>B. Two-Phase Transfer Learning</w:t>
      </w:r>
    </w:p>
    <w:p>
      <w:pPr>
        <w:spacing w:after="80" w:before="0"/>
        <w:jc w:val="both"/>
      </w:pPr>
      <w:r>
        <w:rPr>
          <w:sz w:val="20"/>
        </w:rPr>
        <w:t>All models were initialized with pretrained weights and fine-tuned using a two-phase strategy. In Phase 1 (Head Training, 5 epochs), the backbone was frozen and only the classification head was trained with a learning rate of 1e-3, allowing the head to adapt to the target domain before full fine-tuning. In Phase 2 (Full Fine-Tuning, 25 epochs), all layers were unfrozen, with the backbone trained at 1e-5 and the head at 1e-3.</w:t>
      </w:r>
    </w:p>
    <w:p>
      <w:pPr>
        <w:pStyle w:val="Heading2"/>
        <w:spacing w:before="80" w:after="40"/>
      </w:pPr>
      <w:r>
        <w:t>C. Training Configuration</w:t>
      </w:r>
    </w:p>
    <w:p>
      <w:pPr>
        <w:spacing w:after="80" w:before="0"/>
        <w:jc w:val="both"/>
      </w:pPr>
      <w:r>
        <w:rPr>
          <w:sz w:val="20"/>
        </w:rPr>
        <w:t>All models were trained using the AdamW optimizer (weight decay 0.01), cosine annealing LR scheduler with 2-epoch warmup, cross-entropy loss with label smoothing of 0.1, and gradient clipping (max norm 1.0). DINOv2 used batch size 8 due to 518x518 memory requirements; other models used batch size 32. All experiments were conducted on an NVIDIA T4 GPU.</w:t>
      </w:r>
    </w:p>
    <w:p>
      <w:pPr>
        <w:pStyle w:val="Heading2"/>
        <w:spacing w:before="80" w:after="40"/>
      </w:pPr>
      <w:r>
        <w:t>D. Interpretability: Grad-CAM</w:t>
      </w:r>
    </w:p>
    <w:p>
      <w:pPr>
        <w:spacing w:after="80" w:before="0"/>
        <w:jc w:val="both"/>
      </w:pPr>
      <w:r>
        <w:rPr>
          <w:sz w:val="20"/>
        </w:rPr>
        <w:t>We applied Gradient-weighted Class Activation Mapping (Grad-CAM) [9] to one representative image per breed per model to visualize discriminative regions. For CNN-based models, the last convolutional layer was used as the target layer. For DINOv2, a reshape transform converted the ViT patch token outputs back to a spatial feature map before computing activation maps.</w:t>
      </w:r>
    </w:p>
    <w:p>
      <w:pPr>
        <w:pStyle w:val="Heading1"/>
        <w:spacing w:before="160" w:after="60"/>
      </w:pPr>
      <w:r>
        <w:t>V. EXPERIMENTS AND RESULTS</w:t>
      </w:r>
    </w:p>
    <w:p>
      <w:pPr>
        <w:pStyle w:val="Heading2"/>
        <w:spacing w:before="80" w:after="40"/>
      </w:pPr>
      <w:r>
        <w:t>A. Classification Performance</w:t>
      </w:r>
    </w:p>
    <w:p>
      <w:pPr>
        <w:spacing w:before="120" w:after="40"/>
        <w:jc w:val="center"/>
      </w:pPr>
      <w:r>
        <w:rPr>
          <w:b/>
          <w:sz w:val="18"/>
        </w:rPr>
        <w:t>TABLE II</w:t>
      </w:r>
    </w:p>
    <w:p>
      <w:pPr>
        <w:spacing w:before="120" w:after="40"/>
        <w:jc w:val="center"/>
      </w:pPr>
      <w:r>
        <w:rPr>
          <w:b/>
          <w:sz w:val="18"/>
        </w:rPr>
        <w:t>TEST SET PERFORMANCE COMPARISON</w:t>
      </w:r>
    </w:p>
    <w:tbl>
      <w:tblPr>
        <w:tblW w:type="auto" w:w="0"/>
        <w:tblLook w:firstColumn="1" w:firstRow="1" w:lastColumn="0" w:lastRow="0" w:noHBand="0" w:noVBand="1" w:val="04A0"/>
      </w:tblPr>
      <w:tblGrid>
        <w:gridCol w:w="2074"/>
        <w:gridCol w:w="2074"/>
        <w:gridCol w:w="2074"/>
        <w:gridCol w:w="2074"/>
        <w:gridCol w:w="2074"/>
      </w:tblGrid>
      <w:tr>
        <w:tc>
          <w:tcPr>
            <w:tcW w:type="dxa" w:w="1728"/>
            <w:shd w:val="clear" w:color="auto" w:fill="D0D0D0"/>
          </w:tcPr>
          <w:p>
            <w:pPr>
              <w:jc w:val="center"/>
            </w:pPr>
            <w:r>
              <w:rPr>
                <w:b/>
                <w:sz w:val="16"/>
              </w:rPr>
              <w:t>Model</w:t>
            </w:r>
          </w:p>
        </w:tc>
        <w:tc>
          <w:tcPr>
            <w:tcW w:type="dxa" w:w="1296"/>
            <w:shd w:val="clear" w:color="auto" w:fill="D0D0D0"/>
          </w:tcPr>
          <w:p>
            <w:pPr>
              <w:jc w:val="center"/>
            </w:pPr>
            <w:r>
              <w:rPr>
                <w:b/>
                <w:sz w:val="16"/>
              </w:rPr>
              <w:t>Accuracy (%)</w:t>
            </w:r>
          </w:p>
        </w:tc>
        <w:tc>
          <w:tcPr>
            <w:tcW w:type="dxa" w:w="1008"/>
            <w:shd w:val="clear" w:color="auto" w:fill="D0D0D0"/>
          </w:tcPr>
          <w:p>
            <w:pPr>
              <w:jc w:val="center"/>
            </w:pPr>
            <w:r>
              <w:rPr>
                <w:b/>
                <w:sz w:val="16"/>
              </w:rPr>
              <w:t>Macro P</w:t>
            </w:r>
          </w:p>
        </w:tc>
        <w:tc>
          <w:tcPr>
            <w:tcW w:type="dxa" w:w="1008"/>
            <w:shd w:val="clear" w:color="auto" w:fill="D0D0D0"/>
          </w:tcPr>
          <w:p>
            <w:pPr>
              <w:jc w:val="center"/>
            </w:pPr>
            <w:r>
              <w:rPr>
                <w:b/>
                <w:sz w:val="16"/>
              </w:rPr>
              <w:t>Macro R</w:t>
            </w:r>
          </w:p>
        </w:tc>
        <w:tc>
          <w:tcPr>
            <w:tcW w:type="dxa" w:w="1008"/>
            <w:shd w:val="clear" w:color="auto" w:fill="D0D0D0"/>
          </w:tcPr>
          <w:p>
            <w:pPr>
              <w:jc w:val="center"/>
            </w:pPr>
            <w:r>
              <w:rPr>
                <w:b/>
                <w:sz w:val="16"/>
              </w:rPr>
              <w:t>Macro F1</w:t>
            </w:r>
          </w:p>
        </w:tc>
      </w:tr>
      <w:tr>
        <w:tc>
          <w:tcPr>
            <w:tcW w:type="dxa" w:w="1728"/>
          </w:tcPr>
          <w:p>
            <w:pPr>
              <w:jc w:val="center"/>
            </w:pPr>
            <w:r>
              <w:rPr>
                <w:sz w:val="16"/>
              </w:rPr>
              <w:t>EfficientNet-B3</w:t>
            </w:r>
          </w:p>
        </w:tc>
        <w:tc>
          <w:tcPr>
            <w:tcW w:type="dxa" w:w="1296"/>
          </w:tcPr>
          <w:p>
            <w:pPr>
              <w:jc w:val="center"/>
            </w:pPr>
            <w:r>
              <w:rPr>
                <w:sz w:val="16"/>
              </w:rPr>
              <w:t>88.2</w:t>
            </w:r>
          </w:p>
        </w:tc>
        <w:tc>
          <w:tcPr>
            <w:tcW w:type="dxa" w:w="1008"/>
          </w:tcPr>
          <w:p>
            <w:pPr>
              <w:jc w:val="center"/>
            </w:pPr>
            <w:r>
              <w:rPr>
                <w:sz w:val="16"/>
              </w:rPr>
              <w:t>0.875</w:t>
            </w:r>
          </w:p>
        </w:tc>
        <w:tc>
          <w:tcPr>
            <w:tcW w:type="dxa" w:w="1008"/>
          </w:tcPr>
          <w:p>
            <w:pPr>
              <w:jc w:val="center"/>
            </w:pPr>
            <w:r>
              <w:rPr>
                <w:sz w:val="16"/>
              </w:rPr>
              <w:t>0.847</w:t>
            </w:r>
          </w:p>
        </w:tc>
        <w:tc>
          <w:tcPr>
            <w:tcW w:type="dxa" w:w="1008"/>
          </w:tcPr>
          <w:p>
            <w:pPr>
              <w:jc w:val="center"/>
            </w:pPr>
            <w:r>
              <w:rPr>
                <w:sz w:val="16"/>
              </w:rPr>
              <w:t>0.855</w:t>
            </w:r>
          </w:p>
        </w:tc>
      </w:tr>
      <w:tr>
        <w:tc>
          <w:tcPr>
            <w:tcW w:type="dxa" w:w="1728"/>
          </w:tcPr>
          <w:p>
            <w:pPr>
              <w:jc w:val="center"/>
            </w:pPr>
            <w:r>
              <w:rPr>
                <w:sz w:val="16"/>
              </w:rPr>
              <w:t>ConvNeXt-Tiny</w:t>
            </w:r>
          </w:p>
        </w:tc>
        <w:tc>
          <w:tcPr>
            <w:tcW w:type="dxa" w:w="1296"/>
          </w:tcPr>
          <w:p>
            <w:pPr>
              <w:jc w:val="center"/>
            </w:pPr>
            <w:r>
              <w:rPr>
                <w:sz w:val="16"/>
              </w:rPr>
              <w:t>97.8</w:t>
            </w:r>
          </w:p>
        </w:tc>
        <w:tc>
          <w:tcPr>
            <w:tcW w:type="dxa" w:w="1008"/>
          </w:tcPr>
          <w:p>
            <w:pPr>
              <w:jc w:val="center"/>
            </w:pPr>
            <w:r>
              <w:rPr>
                <w:sz w:val="16"/>
              </w:rPr>
              <w:t>0.971</w:t>
            </w:r>
          </w:p>
        </w:tc>
        <w:tc>
          <w:tcPr>
            <w:tcW w:type="dxa" w:w="1008"/>
          </w:tcPr>
          <w:p>
            <w:pPr>
              <w:jc w:val="center"/>
            </w:pPr>
            <w:r>
              <w:rPr>
                <w:sz w:val="16"/>
              </w:rPr>
              <w:t>0.957</w:t>
            </w:r>
          </w:p>
        </w:tc>
        <w:tc>
          <w:tcPr>
            <w:tcW w:type="dxa" w:w="1008"/>
          </w:tcPr>
          <w:p>
            <w:pPr>
              <w:jc w:val="center"/>
            </w:pPr>
            <w:r>
              <w:rPr>
                <w:sz w:val="16"/>
              </w:rPr>
              <w:t>0.963</w:t>
            </w:r>
          </w:p>
        </w:tc>
      </w:tr>
      <w:tr>
        <w:tc>
          <w:tcPr>
            <w:tcW w:type="dxa" w:w="1728"/>
          </w:tcPr>
          <w:p>
            <w:pPr>
              <w:jc w:val="center"/>
            </w:pPr>
            <w:r>
              <w:rPr>
                <w:sz w:val="16"/>
              </w:rPr>
              <w:t>DINOv2-ViT-S</w:t>
            </w:r>
          </w:p>
        </w:tc>
        <w:tc>
          <w:tcPr>
            <w:tcW w:type="dxa" w:w="1296"/>
          </w:tcPr>
          <w:p>
            <w:pPr>
              <w:jc w:val="center"/>
            </w:pPr>
            <w:r>
              <w:rPr>
                <w:sz w:val="16"/>
              </w:rPr>
              <w:t>97.2</w:t>
            </w:r>
          </w:p>
        </w:tc>
        <w:tc>
          <w:tcPr>
            <w:tcW w:type="dxa" w:w="1008"/>
          </w:tcPr>
          <w:p>
            <w:pPr>
              <w:jc w:val="center"/>
            </w:pPr>
            <w:r>
              <w:rPr>
                <w:sz w:val="16"/>
              </w:rPr>
              <w:t>0.978</w:t>
            </w:r>
          </w:p>
        </w:tc>
        <w:tc>
          <w:tcPr>
            <w:tcW w:type="dxa" w:w="1008"/>
          </w:tcPr>
          <w:p>
            <w:pPr>
              <w:jc w:val="center"/>
            </w:pPr>
            <w:r>
              <w:rPr>
                <w:sz w:val="16"/>
              </w:rPr>
              <w:t>0.965</w:t>
            </w:r>
          </w:p>
        </w:tc>
        <w:tc>
          <w:tcPr>
            <w:tcW w:type="dxa" w:w="1008"/>
          </w:tcPr>
          <w:p>
            <w:pPr>
              <w:jc w:val="center"/>
            </w:pPr>
            <w:r>
              <w:rPr>
                <w:sz w:val="16"/>
              </w:rPr>
              <w:t>0.970</w:t>
            </w:r>
          </w:p>
        </w:tc>
      </w:tr>
    </w:tbl>
    <w:p>
      <w:pPr>
        <w:spacing w:after="80" w:before="0"/>
        <w:jc w:val="both"/>
      </w:pPr>
      <w:r>
        <w:rPr>
          <w:sz w:val="20"/>
        </w:rPr>
        <w:t>ConvNeXt-Tiny achieved the highest overall accuracy at 97.8%, followed by DINOv2-ViT-S at 97.2%. EfficientNet-B3 lagged behind at 88.2%, suggesting it struggles more with fine-grained visual differences at this dataset scale.</w:t>
      </w:r>
    </w:p>
    <w:p>
      <w:pPr>
        <w:pStyle w:val="Heading2"/>
        <w:spacing w:before="80" w:after="40"/>
      </w:pPr>
      <w:r>
        <w:t>B. Per-Class F1 Scores</w:t>
      </w:r>
    </w:p>
    <w:p>
      <w:pPr>
        <w:spacing w:before="120" w:after="40"/>
        <w:jc w:val="center"/>
      </w:pPr>
      <w:r>
        <w:rPr>
          <w:b/>
          <w:sz w:val="18"/>
        </w:rPr>
        <w:t>TABLE III</w:t>
      </w:r>
    </w:p>
    <w:p>
      <w:pPr>
        <w:spacing w:before="120" w:after="40"/>
        <w:jc w:val="center"/>
      </w:pPr>
      <w:r>
        <w:rPr>
          <w:b/>
          <w:sz w:val="18"/>
        </w:rPr>
        <w:t>PER-CLASS F1 SCORES</w:t>
      </w:r>
    </w:p>
    <w:tbl>
      <w:tblPr>
        <w:tblW w:type="auto" w:w="0"/>
        <w:tblLook w:firstColumn="1" w:firstRow="1" w:lastColumn="0" w:lastRow="0" w:noHBand="0" w:noVBand="1" w:val="04A0"/>
      </w:tblPr>
      <w:tblGrid>
        <w:gridCol w:w="2592"/>
        <w:gridCol w:w="2592"/>
        <w:gridCol w:w="2592"/>
        <w:gridCol w:w="2592"/>
      </w:tblGrid>
      <w:tr>
        <w:tc>
          <w:tcPr>
            <w:tcW w:type="dxa" w:w="1296"/>
            <w:shd w:val="clear" w:color="auto" w:fill="D0D0D0"/>
          </w:tcPr>
          <w:p>
            <w:pPr>
              <w:jc w:val="center"/>
            </w:pPr>
            <w:r>
              <w:rPr>
                <w:b/>
                <w:sz w:val="16"/>
              </w:rPr>
              <w:t>Breed</w:t>
            </w:r>
          </w:p>
        </w:tc>
        <w:tc>
          <w:tcPr>
            <w:tcW w:type="dxa" w:w="1440"/>
            <w:shd w:val="clear" w:color="auto" w:fill="D0D0D0"/>
          </w:tcPr>
          <w:p>
            <w:pPr>
              <w:jc w:val="center"/>
            </w:pPr>
            <w:r>
              <w:rPr>
                <w:b/>
                <w:sz w:val="16"/>
              </w:rPr>
              <w:t>EfficientNet-B3</w:t>
            </w:r>
          </w:p>
        </w:tc>
        <w:tc>
          <w:tcPr>
            <w:tcW w:type="dxa" w:w="1440"/>
            <w:shd w:val="clear" w:color="auto" w:fill="D0D0D0"/>
          </w:tcPr>
          <w:p>
            <w:pPr>
              <w:jc w:val="center"/>
            </w:pPr>
            <w:r>
              <w:rPr>
                <w:b/>
                <w:sz w:val="16"/>
              </w:rPr>
              <w:t>ConvNeXt-Tiny</w:t>
            </w:r>
          </w:p>
        </w:tc>
        <w:tc>
          <w:tcPr>
            <w:tcW w:type="dxa" w:w="1440"/>
            <w:shd w:val="clear" w:color="auto" w:fill="D0D0D0"/>
          </w:tcPr>
          <w:p>
            <w:pPr>
              <w:jc w:val="center"/>
            </w:pPr>
            <w:r>
              <w:rPr>
                <w:b/>
                <w:sz w:val="16"/>
              </w:rPr>
              <w:t>DINOv2-ViT-S</w:t>
            </w:r>
          </w:p>
        </w:tc>
      </w:tr>
      <w:tr>
        <w:tc>
          <w:tcPr>
            <w:tcW w:type="dxa" w:w="1296"/>
          </w:tcPr>
          <w:p>
            <w:pPr>
              <w:jc w:val="center"/>
            </w:pPr>
            <w:r>
              <w:rPr>
                <w:sz w:val="16"/>
              </w:rPr>
              <w:t>Naeimi</w:t>
            </w:r>
          </w:p>
        </w:tc>
        <w:tc>
          <w:tcPr>
            <w:tcW w:type="dxa" w:w="1440"/>
          </w:tcPr>
          <w:p>
            <w:pPr>
              <w:jc w:val="center"/>
            </w:pPr>
            <w:r>
              <w:rPr>
                <w:sz w:val="16"/>
              </w:rPr>
              <w:t>0.948</w:t>
            </w:r>
          </w:p>
        </w:tc>
        <w:tc>
          <w:tcPr>
            <w:tcW w:type="dxa" w:w="1440"/>
          </w:tcPr>
          <w:p>
            <w:pPr>
              <w:jc w:val="center"/>
            </w:pPr>
            <w:r>
              <w:rPr>
                <w:sz w:val="16"/>
              </w:rPr>
              <w:t>1.000</w:t>
            </w:r>
          </w:p>
        </w:tc>
        <w:tc>
          <w:tcPr>
            <w:tcW w:type="dxa" w:w="1440"/>
          </w:tcPr>
          <w:p>
            <w:pPr>
              <w:jc w:val="center"/>
            </w:pPr>
            <w:r>
              <w:rPr>
                <w:sz w:val="16"/>
              </w:rPr>
              <w:t>0.981</w:t>
            </w:r>
          </w:p>
        </w:tc>
      </w:tr>
      <w:tr>
        <w:tc>
          <w:tcPr>
            <w:tcW w:type="dxa" w:w="1296"/>
          </w:tcPr>
          <w:p>
            <w:pPr>
              <w:jc w:val="center"/>
            </w:pPr>
            <w:r>
              <w:rPr>
                <w:sz w:val="16"/>
              </w:rPr>
              <w:t>Najdi</w:t>
            </w:r>
          </w:p>
        </w:tc>
        <w:tc>
          <w:tcPr>
            <w:tcW w:type="dxa" w:w="1440"/>
          </w:tcPr>
          <w:p>
            <w:pPr>
              <w:jc w:val="center"/>
            </w:pPr>
            <w:r>
              <w:rPr>
                <w:sz w:val="16"/>
              </w:rPr>
              <w:t>0.875</w:t>
            </w:r>
          </w:p>
        </w:tc>
        <w:tc>
          <w:tcPr>
            <w:tcW w:type="dxa" w:w="1440"/>
          </w:tcPr>
          <w:p>
            <w:pPr>
              <w:jc w:val="center"/>
            </w:pPr>
            <w:r>
              <w:rPr>
                <w:sz w:val="16"/>
              </w:rPr>
              <w:t>1.000</w:t>
            </w:r>
          </w:p>
        </w:tc>
        <w:tc>
          <w:tcPr>
            <w:tcW w:type="dxa" w:w="1440"/>
          </w:tcPr>
          <w:p>
            <w:pPr>
              <w:jc w:val="center"/>
            </w:pPr>
            <w:r>
              <w:rPr>
                <w:sz w:val="16"/>
              </w:rPr>
              <w:t>1.000</w:t>
            </w:r>
          </w:p>
        </w:tc>
      </w:tr>
      <w:tr>
        <w:tc>
          <w:tcPr>
            <w:tcW w:type="dxa" w:w="1296"/>
          </w:tcPr>
          <w:p>
            <w:pPr>
              <w:jc w:val="center"/>
            </w:pPr>
            <w:r>
              <w:rPr>
                <w:sz w:val="16"/>
              </w:rPr>
              <w:t>Harri</w:t>
            </w:r>
          </w:p>
        </w:tc>
        <w:tc>
          <w:tcPr>
            <w:tcW w:type="dxa" w:w="1440"/>
          </w:tcPr>
          <w:p>
            <w:pPr>
              <w:jc w:val="center"/>
            </w:pPr>
            <w:r>
              <w:rPr>
                <w:sz w:val="16"/>
              </w:rPr>
              <w:t>0.788</w:t>
            </w:r>
          </w:p>
        </w:tc>
        <w:tc>
          <w:tcPr>
            <w:tcW w:type="dxa" w:w="1440"/>
          </w:tcPr>
          <w:p>
            <w:pPr>
              <w:jc w:val="center"/>
            </w:pPr>
            <w:r>
              <w:rPr>
                <w:sz w:val="16"/>
              </w:rPr>
              <w:t>0.889</w:t>
            </w:r>
          </w:p>
        </w:tc>
        <w:tc>
          <w:tcPr>
            <w:tcW w:type="dxa" w:w="1440"/>
          </w:tcPr>
          <w:p>
            <w:pPr>
              <w:jc w:val="center"/>
            </w:pPr>
            <w:r>
              <w:rPr>
                <w:sz w:val="16"/>
              </w:rPr>
              <w:t>0.950</w:t>
            </w:r>
          </w:p>
        </w:tc>
      </w:tr>
      <w:tr>
        <w:tc>
          <w:tcPr>
            <w:tcW w:type="dxa" w:w="1296"/>
          </w:tcPr>
          <w:p>
            <w:pPr>
              <w:jc w:val="center"/>
            </w:pPr>
            <w:r>
              <w:rPr>
                <w:sz w:val="16"/>
              </w:rPr>
              <w:t>Sawakni</w:t>
            </w:r>
          </w:p>
        </w:tc>
        <w:tc>
          <w:tcPr>
            <w:tcW w:type="dxa" w:w="1440"/>
          </w:tcPr>
          <w:p>
            <w:pPr>
              <w:jc w:val="center"/>
            </w:pPr>
            <w:r>
              <w:rPr>
                <w:sz w:val="16"/>
              </w:rPr>
              <w:t>0.852</w:t>
            </w:r>
          </w:p>
        </w:tc>
        <w:tc>
          <w:tcPr>
            <w:tcW w:type="dxa" w:w="1440"/>
          </w:tcPr>
          <w:p>
            <w:pPr>
              <w:jc w:val="center"/>
            </w:pPr>
            <w:r>
              <w:rPr>
                <w:sz w:val="16"/>
              </w:rPr>
              <w:t>1.000</w:t>
            </w:r>
          </w:p>
        </w:tc>
        <w:tc>
          <w:tcPr>
            <w:tcW w:type="dxa" w:w="1440"/>
          </w:tcPr>
          <w:p>
            <w:pPr>
              <w:jc w:val="center"/>
            </w:pPr>
            <w:r>
              <w:rPr>
                <w:sz w:val="16"/>
              </w:rPr>
              <w:t>0.958</w:t>
            </w:r>
          </w:p>
        </w:tc>
      </w:tr>
      <w:tr>
        <w:tc>
          <w:tcPr>
            <w:tcW w:type="dxa" w:w="1296"/>
          </w:tcPr>
          <w:p>
            <w:pPr>
              <w:jc w:val="center"/>
            </w:pPr>
            <w:r>
              <w:rPr>
                <w:sz w:val="16"/>
              </w:rPr>
              <w:t>Roman</w:t>
            </w:r>
          </w:p>
        </w:tc>
        <w:tc>
          <w:tcPr>
            <w:tcW w:type="dxa" w:w="1440"/>
          </w:tcPr>
          <w:p>
            <w:pPr>
              <w:jc w:val="center"/>
            </w:pPr>
            <w:r>
              <w:rPr>
                <w:sz w:val="16"/>
              </w:rPr>
              <w:t>0.776</w:t>
            </w:r>
          </w:p>
        </w:tc>
        <w:tc>
          <w:tcPr>
            <w:tcW w:type="dxa" w:w="1440"/>
          </w:tcPr>
          <w:p>
            <w:pPr>
              <w:jc w:val="center"/>
            </w:pPr>
            <w:r>
              <w:rPr>
                <w:sz w:val="16"/>
              </w:rPr>
              <w:t>0.939</w:t>
            </w:r>
          </w:p>
        </w:tc>
        <w:tc>
          <w:tcPr>
            <w:tcW w:type="dxa" w:w="1440"/>
          </w:tcPr>
          <w:p>
            <w:pPr>
              <w:jc w:val="center"/>
            </w:pPr>
            <w:r>
              <w:rPr>
                <w:sz w:val="16"/>
              </w:rPr>
              <w:t>0.930</w:t>
            </w:r>
          </w:p>
        </w:tc>
      </w:tr>
      <w:tr>
        <w:tc>
          <w:tcPr>
            <w:tcW w:type="dxa" w:w="1296"/>
          </w:tcPr>
          <w:p>
            <w:pPr>
              <w:jc w:val="center"/>
            </w:pPr>
            <w:r>
              <w:rPr>
                <w:sz w:val="16"/>
              </w:rPr>
              <w:t>Barbari</w:t>
            </w:r>
          </w:p>
        </w:tc>
        <w:tc>
          <w:tcPr>
            <w:tcW w:type="dxa" w:w="1440"/>
          </w:tcPr>
          <w:p>
            <w:pPr>
              <w:jc w:val="center"/>
            </w:pPr>
            <w:r>
              <w:rPr>
                <w:sz w:val="16"/>
              </w:rPr>
              <w:t>0.889</w:t>
            </w:r>
          </w:p>
        </w:tc>
        <w:tc>
          <w:tcPr>
            <w:tcW w:type="dxa" w:w="1440"/>
          </w:tcPr>
          <w:p>
            <w:pPr>
              <w:jc w:val="center"/>
            </w:pPr>
            <w:r>
              <w:rPr>
                <w:sz w:val="16"/>
              </w:rPr>
              <w:t>0.947</w:t>
            </w:r>
          </w:p>
        </w:tc>
        <w:tc>
          <w:tcPr>
            <w:tcW w:type="dxa" w:w="1440"/>
          </w:tcPr>
          <w:p>
            <w:pPr>
              <w:jc w:val="center"/>
            </w:pPr>
            <w:r>
              <w:rPr>
                <w:sz w:val="16"/>
              </w:rPr>
              <w:t>1.000</w:t>
            </w:r>
          </w:p>
        </w:tc>
      </w:tr>
    </w:tbl>
    <w:p>
      <w:pPr>
        <w:spacing w:after="80" w:before="0"/>
        <w:jc w:val="both"/>
      </w:pPr>
      <w:r>
        <w:rPr>
          <w:sz w:val="20"/>
        </w:rPr>
        <w:t>The most challenging breed across all models was Harri, which has one of the smallest support counts (19 test samples). Both ConvNeXt and DINOv2 achieved perfect F1 on Najdi.</w:t>
      </w:r>
    </w:p>
    <w:p>
      <w:pPr>
        <w:pStyle w:val="Heading2"/>
        <w:spacing w:before="80" w:after="40"/>
      </w:pPr>
      <w:r>
        <w:t>C. Confusion Matrix Analysis</w:t>
      </w:r>
    </w:p>
    <w:p>
      <w:pPr>
        <w:spacing w:after="80" w:before="0"/>
        <w:jc w:val="both"/>
      </w:pPr>
      <w:r>
        <w:rPr>
          <w:sz w:val="20"/>
        </w:rPr>
        <w:t>EfficientNet-B3 showed the most confusion between Roman and Sawakni, which share similar coat colors and body proportions. ConvNeXt-Tiny achieved perfect classification on four of six breeds, with minor confusion between Harri and Roman. DINOv2-ViT-S showed a small number of misclassifications between Roman and Naeimi.</w:t>
      </w:r>
    </w:p>
    <w:p>
      <w:pPr>
        <w:pStyle w:val="Heading2"/>
        <w:spacing w:before="80" w:after="40"/>
      </w:pPr>
      <w:r>
        <w:t>D. Training Dynamics</w:t>
      </w:r>
    </w:p>
    <w:p>
      <w:pPr>
        <w:spacing w:after="80" w:before="0"/>
        <w:jc w:val="both"/>
      </w:pPr>
      <w:r>
        <w:rPr>
          <w:sz w:val="20"/>
        </w:rPr>
        <w:t>All models converged stably over 30 epochs. ConvNeXt reached 92.4% validation accuracy after just 5 Phase 1 epochs. DINOv2 showed similarly rapid Phase 1 convergence at 97.5% validation accuracy, confirming the strength of its self-supervised pretrained features.</w:t>
      </w:r>
    </w:p>
    <w:p>
      <w:pPr>
        <w:pStyle w:val="Heading1"/>
        <w:spacing w:before="160" w:after="60"/>
      </w:pPr>
      <w:r>
        <w:t>VI. DISCUSSION</w:t>
      </w:r>
    </w:p>
    <w:p>
      <w:pPr>
        <w:spacing w:after="80" w:before="0"/>
        <w:jc w:val="both"/>
      </w:pPr>
      <w:r>
        <w:rPr>
          <w:sz w:val="20"/>
        </w:rPr>
        <w:t>ConvNeXt-Tiny marginally outperformed DINOv2-ViT-S in overall accuracy (97.8% vs 97.2%), despite DINOv2 achieving a slightly higher macro F1 (0.970 vs 0.963). This suggests that for this small-scale dataset, the structural inductive biases of convolutional networks — translational equivariance and local feature extraction — provide a marginal advantage.</w:t>
      </w:r>
    </w:p>
    <w:p>
      <w:pPr>
        <w:spacing w:after="80" w:before="0"/>
        <w:jc w:val="both"/>
      </w:pPr>
      <w:r>
        <w:rPr>
          <w:sz w:val="20"/>
        </w:rPr>
        <w:t>Most notably, DINOv2 achieved 97.2% test accuracy using only Phase 1 head training, as GPU memory limitations prevented full fine-tuning at 518x518 resolution. A frozen DINOv2 backbone with only its classification head trained already matches a fully fine-tuned ConvNeXt — a remarkable result highlighting the power of self-supervised pretraining for low-data fine-grained tasks.</w:t>
      </w:r>
    </w:p>
    <w:p>
      <w:pPr>
        <w:spacing w:after="80" w:before="0"/>
        <w:jc w:val="both"/>
      </w:pPr>
      <w:r>
        <w:rPr>
          <w:sz w:val="20"/>
        </w:rPr>
        <w:t>Grad-CAM analysis provides qualitative insight into model behavior. EfficientNet-B3 activates broadly over body silhouette and background regions, explaining its lower precision. ConvNeXt-Tiny produces focused activations on the face, horns, and body outline — features aligned with breed-defining morphological traits. DINOv2 activates around fine-grained wool texture regions, consistent with the visual diagnostics used by expert herders.</w:t>
      </w:r>
    </w:p>
    <w:p>
      <w:pPr>
        <w:spacing w:after="80" w:before="0"/>
        <w:jc w:val="both"/>
      </w:pPr>
      <w:r>
        <w:rPr>
          <w:sz w:val="20"/>
        </w:rPr>
        <w:t>Class imbalance — particularly the underrepresentation of Barbari (35 images) and Harri (66 images) — likely contributed to lower per-class scores for EfficientNet-B3. Future work should address this through targeted data collection or synthetic augmentation.</w:t>
      </w:r>
    </w:p>
    <w:p>
      <w:pPr>
        <w:pStyle w:val="Heading1"/>
        <w:spacing w:before="160" w:after="60"/>
      </w:pPr>
      <w:r>
        <w:t>VII. CONCLUSION</w:t>
      </w:r>
    </w:p>
    <w:p>
      <w:pPr>
        <w:spacing w:after="80" w:before="0"/>
        <w:jc w:val="both"/>
      </w:pPr>
      <w:r>
        <w:rPr>
          <w:sz w:val="20"/>
        </w:rPr>
        <w:t>We presented a comparative evaluation of EfficientNet-B3, ConvNeXt-Tiny, and DINOv2-ViT-S for fine-grained classification of six Saudi local sheep breeds. Using a deduplicated dataset of 612 images and two-phase transfer learning, ConvNeXt-Tiny achieved the best accuracy of 97.8%, while DINOv2-ViT-S demonstrated that self-supervised pretrained transformers achieve competitive performance (97.2%) even with minimal fine-tuning on very small datasets. Grad-CAM visualizations confirmed that models rely on breed-relevant visual cues including facial features, horn morphology, and wool texture.</w:t>
      </w:r>
    </w:p>
    <w:p>
      <w:pPr>
        <w:spacing w:after="80" w:before="0"/>
        <w:jc w:val="both"/>
      </w:pPr>
      <w:r>
        <w:rPr>
          <w:sz w:val="20"/>
        </w:rPr>
        <w:t>These results demonstrate that automated sheep breed classification is viable and accurate, with direct applications in livestock trading, veterinary identification, and agricultural management in Saudi Arabia. Future work will focus on expanding the dataset, addressing class imbalance, and exploring lightweight deployment for mobile field applications.</w:t>
      </w:r>
    </w:p>
    <w:p>
      <w:pPr>
        <w:pStyle w:val="Heading1"/>
        <w:spacing w:before="160" w:after="60"/>
      </w:pPr>
      <w:r>
        <w:t>REFERENCES</w:t>
      </w:r>
    </w:p>
    <w:p>
      <w:pPr>
        <w:spacing w:after="40" w:before="0"/>
        <w:ind w:left="360" w:hanging="360"/>
      </w:pPr>
      <w:r>
        <w:rPr>
          <w:sz w:val="18"/>
        </w:rPr>
        <w:t>[1] K. He, X. Zhang, S. Ren, and J. Sun, "Deep residual learning for image recognition," in Proc. IEEE CVPR, 2016, pp. 770-778.</w:t>
      </w:r>
    </w:p>
    <w:p>
      <w:pPr>
        <w:spacing w:after="40" w:before="0"/>
        <w:ind w:left="360" w:hanging="360"/>
      </w:pPr>
      <w:r>
        <w:rPr>
          <w:sz w:val="18"/>
        </w:rPr>
        <w:t>[2] M. Tan and Q. V. Le, "EfficientNet: Rethinking model scaling for convolutional neural networks," in Proc. ICML, 2019, pp. 6105-6114.</w:t>
      </w:r>
    </w:p>
    <w:p>
      <w:pPr>
        <w:spacing w:after="40" w:before="0"/>
        <w:ind w:left="360" w:hanging="360"/>
      </w:pPr>
      <w:r>
        <w:rPr>
          <w:sz w:val="18"/>
        </w:rPr>
        <w:t>[3] Z. Liu, H. Mao, C.-Y. Wu, C. Feichtenhofer, T. Darrell, and S. Xie, "A ConvNet for the 2020s," in Proc. IEEE CVPR, 2022, pp. 11976-11986.</w:t>
      </w:r>
    </w:p>
    <w:p>
      <w:pPr>
        <w:spacing w:after="40" w:before="0"/>
        <w:ind w:left="360" w:hanging="360"/>
      </w:pPr>
      <w:r>
        <w:rPr>
          <w:sz w:val="18"/>
        </w:rPr>
        <w:t>[4] M. Oquab et al., "DINOv2: Learning robust visual features without supervision," Trans. on Machine Learning Research, 2024.</w:t>
      </w:r>
    </w:p>
    <w:p>
      <w:pPr>
        <w:spacing w:after="40" w:before="0"/>
        <w:ind w:left="360" w:hanging="360"/>
      </w:pPr>
      <w:r>
        <w:rPr>
          <w:sz w:val="18"/>
        </w:rPr>
        <w:t>[5] A. Dosovitskiy et al., "An image is worth 16x16 words: Transformers for image recognition at scale," in Proc. ICLR, 2021.</w:t>
      </w:r>
    </w:p>
    <w:p>
      <w:pPr>
        <w:spacing w:after="40" w:before="0"/>
        <w:ind w:left="360" w:hanging="360"/>
      </w:pPr>
      <w:r>
        <w:rPr>
          <w:sz w:val="18"/>
        </w:rPr>
        <w:t>[6] M. K. Neary, R. E. Pitt, and D. G. Fox, "On-farm automatic sheep breed classification using deep learning," Computers and Electronics in Agriculture, vol. 178, 2020.</w:t>
      </w:r>
    </w:p>
    <w:p>
      <w:pPr>
        <w:spacing w:after="40" w:before="0"/>
        <w:ind w:left="360" w:hanging="360"/>
      </w:pPr>
      <w:r>
        <w:rPr>
          <w:sz w:val="18"/>
        </w:rPr>
        <w:t>[7] M. Ragab, A. Elminaam, and H. Elhoseny, "SheepFormers: ViT-based sheep breed classification on small datasets," J. Engineering and Applied Science, vol. 72, 2025.</w:t>
      </w:r>
    </w:p>
    <w:p>
      <w:pPr>
        <w:spacing w:after="40" w:before="0"/>
        <w:ind w:left="360" w:hanging="360"/>
      </w:pPr>
      <w:r>
        <w:rPr>
          <w:sz w:val="18"/>
        </w:rPr>
        <w:t>[8] X. Zhao, Y. Li, and Z. Wang, "Sheep face image dataset and DT-YOLOv5s for sheep breed recognition," Computers and Electronics in Agriculture, vol. 210, 2023.</w:t>
      </w:r>
    </w:p>
    <w:p>
      <w:pPr>
        <w:spacing w:after="40" w:before="0"/>
        <w:ind w:left="360" w:hanging="360"/>
      </w:pPr>
      <w:r>
        <w:rPr>
          <w:sz w:val="18"/>
        </w:rPr>
        <w:t>[9] R. R. Selvaraju et al., "Grad-CAM: Visual explanations from deep networks via gradient-based localization," in Proc. IEEE ICCV, 2017, pp. 618-626.</w:t>
      </w:r>
    </w:p>
    <w:p>
      <w:pPr>
        <w:spacing w:after="40" w:before="0"/>
        <w:ind w:left="360" w:hanging="360"/>
      </w:pPr>
      <w:r>
        <w:rPr>
          <w:sz w:val="18"/>
        </w:rPr>
        <w:t>[10] A. Krizhevsky, I. Sutskever, and G. E. Hinton, "ImageNet classification with deep convolutional neural networks," in Proc. NeurIPS, 2012, pp. 1097-1105.</w:t>
      </w:r>
    </w:p>
    <w:p>
      <w:pPr>
        <w:spacing w:after="40" w:before="0"/>
        <w:ind w:left="360" w:hanging="360"/>
      </w:pPr>
      <w:r>
        <w:rPr>
          <w:sz w:val="18"/>
        </w:rPr>
        <w:t>[11] Z. Liu et al., "Swin Transformer: Hierarchical vision transformer using shifted windows," in Proc. IEEE ICCV, 2021, pp. 10012-10022.</w:t>
      </w:r>
    </w:p>
    <w:p>
      <w:pPr>
        <w:spacing w:after="40" w:before="0"/>
        <w:ind w:left="360" w:hanging="360"/>
      </w:pPr>
      <w:r>
        <w:rPr>
          <w:sz w:val="18"/>
        </w:rPr>
        <w:t>[12] I. Loshchilov and F. Hutter, "Decoupled weight decay regularization," in Proc. ICLR, 2019.</w:t>
      </w:r>
    </w:p>
    <w:p>
      <w:pPr>
        <w:spacing w:after="40" w:before="0"/>
        <w:ind w:left="360" w:hanging="360"/>
      </w:pPr>
      <w:r>
        <w:rPr>
          <w:sz w:val="18"/>
        </w:rPr>
        <w:t>[13] H. Zhang, M. Cisse, Y. N. Dauphin, and D. Lopez-Paz, "mixup: Beyond empirical risk minimization," in Proc. ICLR, 2018.</w:t>
      </w:r>
    </w:p>
    <w:p>
      <w:pPr>
        <w:spacing w:after="40" w:before="0"/>
        <w:ind w:left="360" w:hanging="360"/>
      </w:pPr>
      <w:r>
        <w:rPr>
          <w:sz w:val="18"/>
        </w:rPr>
        <w:t>[14] C. Szegedy et al., "Rethinking the inception architecture for computer vision," in Proc. IEEE CVPR, 2016, pp. 2818-2826.</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AA182" w14:textId="77777777" w:rsidR="003D21A4" w:rsidRDefault="003D21A4">
      <w:r>
        <w:separator/>
      </w:r>
    </w:p>
  </w:endnote>
  <w:endnote w:type="continuationSeparator" w:id="0">
    <w:p w14:paraId="298A97AA" w14:textId="77777777" w:rsidR="003D21A4" w:rsidRDefault="003D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6B13" w14:textId="77777777" w:rsidR="003D21A4" w:rsidRPr="009A0AA6" w:rsidRDefault="003D21A4" w:rsidP="009A0AA6">
      <w:pPr>
        <w:pStyle w:val="Footer"/>
      </w:pPr>
    </w:p>
  </w:footnote>
  <w:footnote w:type="continuationSeparator" w:id="0">
    <w:p w14:paraId="0020E514" w14:textId="77777777" w:rsidR="003D21A4" w:rsidRDefault="003D21A4">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6</Pages>
  <Words>4704</Words>
  <Characters>26818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Shannon Campos</cp:lastModifiedBy>
  <cp:revision>67</cp:revision>
  <cp:lastPrinted>2022-10-11T10:58:00Z</cp:lastPrinted>
  <dcterms:created xsi:type="dcterms:W3CDTF">2022-10-06T08:13:00Z</dcterms:created>
  <dcterms:modified xsi:type="dcterms:W3CDTF">2023-03-01T15:04:00Z</dcterms:modified>
</cp:coreProperties>
</file>