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34"/>
          <w:szCs w:val="34"/>
        </w:rPr>
        <w:t xml:space="preserve">Data Ingestion Recommendation for QuickCart</w:t>
      </w:r>
    </w:p>
    <w:p>
      <w:pPr>
        <w:spacing w:after="100" w:line="252"/>
      </w:pPr>
      <w:r>
        <w:rPr>
          <w:rFonts w:ascii="Calibri" w:cs="Calibri" w:eastAsia="Calibri" w:hAnsi="Calibri"/>
          <w:i/>
          <w:iCs/>
          <w:color w:val="000000"/>
          <w:sz w:val="18"/>
          <w:szCs w:val="18"/>
        </w:rPr>
        <w:t xml:space="preserve">To: CTO     From: Junior Data Engineer     Date: October 15, 2026</w:t>
      </w:r>
    </w:p>
    <w:p>
      <w:pPr>
        <w:keepNext/>
        <w:spacing w:after="70" w:before="140"/>
      </w:pPr>
      <w:r>
        <w:rPr>
          <w:rFonts w:ascii="Calibri" w:cs="Calibri" w:eastAsia="Calibri" w:hAnsi="Calibri"/>
          <w:b/>
          <w:bCs/>
          <w:color w:val="000000"/>
          <w:sz w:val="23"/>
          <w:szCs w:val="23"/>
        </w:rPr>
        <w:t xml:space="preserve">Recommendation</w:t>
      </w:r>
    </w:p>
    <w:p>
      <w:pPr>
        <w:spacing w:after="80" w:line="252"/>
      </w:pPr>
      <w:r>
        <w:rPr>
          <w:rFonts w:ascii="Calibri" w:cs="Calibri" w:eastAsia="Calibri" w:hAnsi="Calibri"/>
          <w:b/>
          <w:bCs/>
          <w:color w:val="000000"/>
          <w:sz w:val="19"/>
          <w:szCs w:val="19"/>
        </w:rPr>
        <w:t xml:space="preserve">Adopt Airbyte Open Source, self-hosted on our existing AWS credits, for both data sources. </w:t>
      </w:r>
      <w:r>
        <w:rPr>
          <w:rFonts w:ascii="Calibri" w:cs="Calibri" w:eastAsia="Calibri" w:hAnsi="Calibri"/>
          <w:color w:val="000000"/>
          <w:sz w:val="19"/>
          <w:szCs w:val="19"/>
        </w:rPr>
        <w:t xml:space="preserve">Start on a single EC2 instance and move to Kubernetes only if load requires it. Fivetran stays as the fallback if the operating effort proves too high.</w:t>
      </w:r>
    </w:p>
    <w:p>
      <w:pPr>
        <w:keepNext/>
        <w:spacing w:after="70" w:before="140"/>
      </w:pPr>
      <w:r>
        <w:rPr>
          <w:rFonts w:ascii="Calibri" w:cs="Calibri" w:eastAsia="Calibri" w:hAnsi="Calibri"/>
          <w:b/>
          <w:bCs/>
          <w:color w:val="000000"/>
          <w:sz w:val="23"/>
          <w:szCs w:val="23"/>
        </w:rPr>
        <w:t xml:space="preserve">Why, against our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50"/>
        <w:gridCol w:w="2750"/>
        <w:gridCol w:w="2360"/>
      </w:tblGrid>
      <w:tr>
        <w:trPr>
          <w:tblHeader/>
        </w:trPr>
        <w:tc>
          <w:tcPr>
            <w:tcW w:type="dxa" w:w="1500"/>
            <w:tcBorders>
              <w:top w:val="single" w:color="808080" w:sz="4"/>
              <w:left w:val="single" w:color="808080" w:sz="4"/>
              <w:bottom w:val="single" w:color="808080" w:sz="4"/>
              <w:right w:val="single" w:color="808080" w:sz="4"/>
            </w:tcBorders>
            <w:shd w:fill="E7E7E7" w:color="auto" w:val="clear"/>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Constraint</w:t>
            </w:r>
          </w:p>
        </w:tc>
        <w:tc>
          <w:tcPr>
            <w:tcW w:type="dxa" w:w="2750"/>
            <w:tcBorders>
              <w:top w:val="single" w:color="808080" w:sz="4"/>
              <w:left w:val="single" w:color="808080" w:sz="4"/>
              <w:bottom w:val="single" w:color="808080" w:sz="4"/>
              <w:right w:val="single" w:color="808080" w:sz="4"/>
            </w:tcBorders>
            <w:shd w:fill="E7E7E7" w:color="auto" w:val="clear"/>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Fivetran</w:t>
            </w:r>
          </w:p>
        </w:tc>
        <w:tc>
          <w:tcPr>
            <w:tcW w:type="dxa" w:w="2750"/>
            <w:tcBorders>
              <w:top w:val="single" w:color="808080" w:sz="4"/>
              <w:left w:val="single" w:color="808080" w:sz="4"/>
              <w:bottom w:val="single" w:color="808080" w:sz="4"/>
              <w:right w:val="single" w:color="808080" w:sz="4"/>
            </w:tcBorders>
            <w:shd w:fill="E7E7E7" w:color="auto" w:val="clear"/>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Airbyte OSS</w:t>
            </w:r>
          </w:p>
        </w:tc>
        <w:tc>
          <w:tcPr>
            <w:tcW w:type="dxa" w:w="2360"/>
            <w:tcBorders>
              <w:top w:val="single" w:color="808080" w:sz="4"/>
              <w:left w:val="single" w:color="808080" w:sz="4"/>
              <w:bottom w:val="single" w:color="808080" w:sz="4"/>
              <w:right w:val="single" w:color="808080" w:sz="4"/>
            </w:tcBorders>
            <w:shd w:fill="E7E7E7" w:color="auto" w:val="clear"/>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Better fit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80M row updates a month (PostgreSQL)</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Billed per monthly active row, so the bill grows with data volume and cannot be capped in advance.</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No licence fee. Cost is compute we already own. Scheduled incremental sync of the tables that changed.</w:t>
            </w:r>
          </w:p>
        </w:tc>
        <w:tc>
          <w:tcPr>
            <w:tcW w:type="dxa" w:w="236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Airbyte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Reports built once a day</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Strong, but its main value is frequent or real time sync we do not need.</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One daily scheduled sync is enough and keeps load on the production database low.</w:t>
            </w:r>
          </w:p>
        </w:tc>
        <w:tc>
          <w:tcPr>
            <w:tcW w:type="dxa" w:w="236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Tie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Undocumented custom API</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No pre-built connector. We would have to write and host a custom connector with its SDK.</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Connector Builder (low code) or the Python CDK. We own the connector and the sync runs in our network.</w:t>
            </w:r>
          </w:p>
        </w:tc>
        <w:tc>
          <w:tcPr>
            <w:tcW w:type="dxa" w:w="236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Airbyte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One senior engineer, one junior</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Fully managed. No servers, upgrades or monitoring to run.</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Self-hosted, so someone must run, upgrade and monitor it. This is its real cost.</w:t>
            </w:r>
          </w:p>
        </w:tc>
        <w:tc>
          <w:tcPr>
            <w:tcW w:type="dxa" w:w="236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Fivetran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Tight software budget, spare AWS and Kubernetes credits</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New recurring software spend.</w:t>
            </w:r>
          </w:p>
        </w:tc>
        <w:tc>
          <w:tcPr>
            <w:tcW w:type="dxa" w:w="275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val="false"/>
                <w:bCs w:val="false"/>
                <w:color w:val="000000"/>
                <w:sz w:val="17"/>
                <w:szCs w:val="17"/>
              </w:rPr>
              <w:t xml:space="preserve">Runs on the unused EC2 and Kubernetes credits. Spend is mostly engineer time.</w:t>
            </w:r>
          </w:p>
        </w:tc>
        <w:tc>
          <w:tcPr>
            <w:tcW w:type="dxa" w:w="236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rFonts w:ascii="Calibri" w:cs="Calibri" w:eastAsia="Calibri" w:hAnsi="Calibri"/>
                <w:b/>
                <w:bCs/>
                <w:color w:val="000000"/>
                <w:sz w:val="17"/>
                <w:szCs w:val="17"/>
              </w:rPr>
              <w:t xml:space="preserve">Airbyte</w:t>
            </w:r>
          </w:p>
        </w:tc>
      </w:tr>
    </w:tbl>
    <w:p>
      <w:pPr>
        <w:keepNext/>
        <w:spacing w:after="70" w:before="140"/>
      </w:pPr>
      <w:r>
        <w:rPr>
          <w:rFonts w:ascii="Calibri" w:cs="Calibri" w:eastAsia="Calibri" w:hAnsi="Calibri"/>
          <w:b/>
          <w:bCs/>
          <w:color w:val="000000"/>
          <w:sz w:val="23"/>
          <w:szCs w:val="23"/>
        </w:rPr>
        <w:t xml:space="preserve">Reasoning</w:t>
      </w:r>
    </w:p>
    <w:p>
      <w:pPr>
        <w:spacing w:after="80" w:line="252"/>
      </w:pPr>
      <w:r>
        <w:rPr>
          <w:rFonts w:ascii="Calibri" w:cs="Calibri" w:eastAsia="Calibri" w:hAnsi="Calibri"/>
          <w:color w:val="000000"/>
          <w:sz w:val="19"/>
          <w:szCs w:val="19"/>
        </w:rPr>
        <w:t xml:space="preserve">Three of the five constraints favour Airbyte, one is a tie and one favours Fivetran. Cost and the custom API decide it. The team size is a real concern, and it is handled below instead of ignored.</w:t>
      </w:r>
    </w:p>
    <w:p>
      <w:pPr>
        <w:pStyle w:val="ListParagraph"/>
        <w:numPr>
          <w:ilvl w:val="0"/>
          <w:numId w:val="2"/>
        </w:numPr>
        <w:spacing w:after="40" w:line="250"/>
      </w:pPr>
      <w:r>
        <w:rPr>
          <w:rFonts w:ascii="Calibri" w:cs="Calibri" w:eastAsia="Calibri" w:hAnsi="Calibri"/>
          <w:b/>
          <w:bCs/>
          <w:color w:val="000000"/>
          <w:sz w:val="19"/>
          <w:szCs w:val="19"/>
        </w:rPr>
        <w:t xml:space="preserve">The custom API is the deciding factor. </w:t>
      </w:r>
      <w:r>
        <w:rPr>
          <w:rFonts w:ascii="Calibri" w:cs="Calibri" w:eastAsia="Calibri" w:hAnsi="Calibri"/>
          <w:color w:val="000000"/>
          <w:sz w:val="19"/>
          <w:szCs w:val="19"/>
        </w:rPr>
        <w:t xml:space="preserve">Fivetran has no connector for an in-house API, so we would write custom code with it anyway and still pay for the platform. With Airbyte the connector is code we own, and it runs in our network next to the data.</w:t>
      </w:r>
    </w:p>
    <w:p>
      <w:pPr>
        <w:pStyle w:val="ListParagraph"/>
        <w:numPr>
          <w:ilvl w:val="0"/>
          <w:numId w:val="2"/>
        </w:numPr>
        <w:spacing w:after="40" w:line="250"/>
      </w:pPr>
      <w:r>
        <w:rPr>
          <w:rFonts w:ascii="Calibri" w:cs="Calibri" w:eastAsia="Calibri" w:hAnsi="Calibri"/>
          <w:b/>
          <w:bCs/>
          <w:color w:val="000000"/>
          <w:sz w:val="19"/>
          <w:szCs w:val="19"/>
        </w:rPr>
        <w:t xml:space="preserve">Daily reporting removes the need for streaming. </w:t>
      </w:r>
      <w:r>
        <w:rPr>
          <w:rFonts w:ascii="Calibri" w:cs="Calibri" w:eastAsia="Calibri" w:hAnsi="Calibri"/>
          <w:color w:val="000000"/>
          <w:sz w:val="19"/>
          <w:szCs w:val="19"/>
        </w:rPr>
        <w:t xml:space="preserve">Daily reports mean a daily sync is enough. A cursor based incremental sync captures the latest state of every changed row, which is what a daily report needs. We can move to log based change capture later if deletes or history become important.</w:t>
      </w:r>
    </w:p>
    <w:p>
      <w:pPr>
        <w:pStyle w:val="ListParagraph"/>
        <w:numPr>
          <w:ilvl w:val="0"/>
          <w:numId w:val="2"/>
        </w:numPr>
        <w:spacing w:after="40" w:line="250"/>
      </w:pPr>
      <w:r>
        <w:rPr>
          <w:rFonts w:ascii="Calibri" w:cs="Calibri" w:eastAsia="Calibri" w:hAnsi="Calibri"/>
          <w:b/>
          <w:bCs/>
          <w:color w:val="000000"/>
          <w:sz w:val="19"/>
          <w:szCs w:val="19"/>
        </w:rPr>
        <w:t xml:space="preserve">The budget fits self-hosting. </w:t>
      </w:r>
      <w:r>
        <w:rPr>
          <w:rFonts w:ascii="Calibri" w:cs="Calibri" w:eastAsia="Calibri" w:hAnsi="Calibri"/>
          <w:color w:val="000000"/>
          <w:sz w:val="19"/>
          <w:szCs w:val="19"/>
        </w:rPr>
        <w:t xml:space="preserve">Spare EC2 and Kubernetes credits turn Airbyte's main cost, hosting, into something we already have.</w:t>
      </w:r>
    </w:p>
    <w:p>
      <w:pPr>
        <w:keepNext/>
        <w:spacing w:after="70" w:before="140"/>
      </w:pPr>
      <w:r>
        <w:rPr>
          <w:rFonts w:ascii="Calibri" w:cs="Calibri" w:eastAsia="Calibri" w:hAnsi="Calibri"/>
          <w:b/>
          <w:bCs/>
          <w:color w:val="000000"/>
          <w:sz w:val="23"/>
          <w:szCs w:val="23"/>
        </w:rPr>
        <w:t xml:space="preserve">Risks and how we handle them</w:t>
      </w:r>
    </w:p>
    <w:p>
      <w:pPr>
        <w:pStyle w:val="ListParagraph"/>
        <w:numPr>
          <w:ilvl w:val="0"/>
          <w:numId w:val="2"/>
        </w:numPr>
        <w:spacing w:after="40" w:line="250"/>
      </w:pPr>
      <w:r>
        <w:rPr>
          <w:rFonts w:ascii="Calibri" w:cs="Calibri" w:eastAsia="Calibri" w:hAnsi="Calibri"/>
          <w:b/>
          <w:bCs/>
          <w:color w:val="000000"/>
          <w:sz w:val="19"/>
          <w:szCs w:val="19"/>
        </w:rPr>
        <w:t xml:space="preserve">Operating effort. </w:t>
      </w:r>
      <w:r>
        <w:rPr>
          <w:rFonts w:ascii="Calibri" w:cs="Calibri" w:eastAsia="Calibri" w:hAnsi="Calibri"/>
          <w:color w:val="000000"/>
          <w:sz w:val="19"/>
          <w:szCs w:val="19"/>
        </w:rPr>
        <w:t xml:space="preserve">I will own the Airbyte deployment so the senior engineer's time is protected. We deploy it with one command on a single instance, write a short runbook, and add failure alerts on every sync.</w:t>
      </w:r>
    </w:p>
    <w:p>
      <w:pPr>
        <w:pStyle w:val="ListParagraph"/>
        <w:numPr>
          <w:ilvl w:val="0"/>
          <w:numId w:val="2"/>
        </w:numPr>
        <w:spacing w:after="40" w:line="250"/>
      </w:pPr>
      <w:r>
        <w:rPr>
          <w:rFonts w:ascii="Calibri" w:cs="Calibri" w:eastAsia="Calibri" w:hAnsi="Calibri"/>
          <w:b/>
          <w:bCs/>
          <w:color w:val="000000"/>
          <w:sz w:val="19"/>
          <w:szCs w:val="19"/>
        </w:rPr>
        <w:t xml:space="preserve">No documentation for the API. </w:t>
      </w:r>
      <w:r>
        <w:rPr>
          <w:rFonts w:ascii="Calibri" w:cs="Calibri" w:eastAsia="Calibri" w:hAnsi="Calibri"/>
          <w:color w:val="000000"/>
          <w:sz w:val="19"/>
          <w:szCs w:val="19"/>
        </w:rPr>
        <w:t xml:space="preserve">Nobody understands the inventory API. Whichever tool we pick, the first step is to call it, record what it returns and document it. Airbyte's schema detection helps with this.</w:t>
      </w:r>
    </w:p>
    <w:p>
      <w:pPr>
        <w:pStyle w:val="ListParagraph"/>
        <w:numPr>
          <w:ilvl w:val="0"/>
          <w:numId w:val="2"/>
        </w:numPr>
        <w:spacing w:after="40" w:line="250"/>
      </w:pPr>
      <w:r>
        <w:rPr>
          <w:rFonts w:ascii="Calibri" w:cs="Calibri" w:eastAsia="Calibri" w:hAnsi="Calibri"/>
          <w:b/>
          <w:bCs/>
          <w:color w:val="000000"/>
          <w:sz w:val="19"/>
          <w:szCs w:val="19"/>
        </w:rPr>
        <w:t xml:space="preserve">Security. </w:t>
      </w:r>
      <w:r>
        <w:rPr>
          <w:rFonts w:ascii="Calibri" w:cs="Calibri" w:eastAsia="Calibri" w:hAnsi="Calibri"/>
          <w:color w:val="000000"/>
          <w:sz w:val="19"/>
          <w:szCs w:val="19"/>
        </w:rPr>
        <w:t xml:space="preserve">Read only database user on a replica, Airbyte inside our VPC, secrets in AWS Secrets Manager.</w:t>
      </w:r>
    </w:p>
    <w:p>
      <w:pPr>
        <w:pStyle w:val="ListParagraph"/>
        <w:numPr>
          <w:ilvl w:val="0"/>
          <w:numId w:val="2"/>
        </w:numPr>
        <w:spacing w:after="40" w:line="250"/>
      </w:pPr>
      <w:r>
        <w:rPr>
          <w:rFonts w:ascii="Calibri" w:cs="Calibri" w:eastAsia="Calibri" w:hAnsi="Calibri"/>
          <w:b/>
          <w:bCs/>
          <w:color w:val="000000"/>
          <w:sz w:val="19"/>
          <w:szCs w:val="19"/>
        </w:rPr>
        <w:t xml:space="preserve">Credits and review point. </w:t>
      </w:r>
      <w:r>
        <w:rPr>
          <w:rFonts w:ascii="Calibri" w:cs="Calibri" w:eastAsia="Calibri" w:hAnsi="Calibri"/>
          <w:color w:val="000000"/>
          <w:sz w:val="19"/>
          <w:szCs w:val="19"/>
        </w:rPr>
        <w:t xml:space="preserve">Credits are finite. We review hosting cost monthly and revisit this decision if credits run out or if upkeep passes about four engineer hours a week.</w:t>
      </w:r>
    </w:p>
    <w:p>
      <w:pPr>
        <w:keepNext/>
        <w:spacing w:after="70" w:before="140"/>
      </w:pPr>
      <w:r>
        <w:rPr>
          <w:rFonts w:ascii="Calibri" w:cs="Calibri" w:eastAsia="Calibri" w:hAnsi="Calibri"/>
          <w:b/>
          <w:bCs/>
          <w:color w:val="000000"/>
          <w:sz w:val="23"/>
          <w:szCs w:val="23"/>
        </w:rPr>
        <w:t xml:space="preserve">First steps</w:t>
      </w:r>
    </w:p>
    <w:p>
      <w:pPr>
        <w:spacing w:after="80" w:line="252"/>
      </w:pPr>
      <w:r>
        <w:rPr>
          <w:rFonts w:ascii="Calibri" w:cs="Calibri" w:eastAsia="Calibri" w:hAnsi="Calibri"/>
          <w:color w:val="000000"/>
          <w:sz w:val="19"/>
          <w:szCs w:val="19"/>
        </w:rPr>
        <w:t xml:space="preserve">Week 1: deploy Airbyte and sync the PostgreSQL inventory tables from a replica. Weeks 2 and 3: explore and document the API, then build its connector. After that: load into the warehouse and model it with dbt.</w:t>
      </w:r>
    </w:p>
    <w:sectPr>
      <w:pgSz w:w="12240" w:h="15840" w:orient="portrait"/>
      <w:pgMar w:top="900" w:right="1440" w:bottom="8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2026-10-15T13:27:50.226Z</dcterms:created>
  <dcterms:modified xsi:type="dcterms:W3CDTF">2026-10-15T13:27:50.227Z</dcterms:modified>
</cp:coreProperties>
</file>

<file path=docProps/custom.xml><?xml version="1.0" encoding="utf-8"?>
<Properties xmlns="http://schemas.openxmlformats.org/officeDocument/2006/custom-properties" xmlns:vt="http://schemas.openxmlformats.org/officeDocument/2006/docPropsVTypes"/>
</file>