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1A3648"/>
          <w:sz w:val="44"/>
        </w:rPr>
        <w:t>📊 HomeOS Sistemi Genel Durum ve Entegrasyon Raporu</w:t>
      </w:r>
    </w:p>
    <w:p>
      <w:pPr>
        <w:spacing w:after="360"/>
      </w:pPr>
      <w:r>
        <w:rPr>
          <w:rFonts w:ascii="Arial" w:hAnsi="Arial"/>
          <w:i/>
          <w:color w:val="2B6C7A"/>
          <w:sz w:val="22"/>
        </w:rPr>
        <w:t>Sistem Kararlılığı, Katman Entegrasyonları ve Teknik Revizyon Özeti</w:t>
      </w:r>
    </w:p>
    <w:p>
      <w:pPr>
        <w:keepNext/>
        <w:spacing w:before="360" w:after="160"/>
      </w:pPr>
      <w:r>
        <w:rPr>
          <w:rFonts w:ascii="Arial" w:hAnsi="Arial"/>
          <w:b/>
          <w:color w:val="1A3648"/>
          <w:sz w:val="40"/>
        </w:rPr>
        <w:t>1. Özet (Executive Summary)</w:t>
      </w:r>
    </w:p>
    <w:p>
      <w:pPr>
        <w:spacing w:line="300" w:lineRule="auto" w:after="160"/>
      </w:pPr>
      <w:r>
        <w:rPr>
          <w:rFonts w:ascii="Arial" w:hAnsi="Arial"/>
          <w:color w:val="2D3748"/>
          <w:sz w:val="21"/>
        </w:rPr>
        <w:t>HomeOS akıllı ev otomasyon sisteminin cihaz kayıt mimarisi üzerinde gerçekleştirilen uçtan uca revizyon çalışmaları başarıyla tamamlanmıştır. Sistemde daha önce yaşanan veri iletimi, doğrulama katmanı (validasyon) ve veritabanı tür uyuşmazlığı krizleri kökten çözülmüştür. Yapılan optimizasyonlar sonucunda; Frontend (Arayüz), Backend (API Controller), Helpers (Doğrulama) ve Database (SQL Server) katmanları %100 senkronize edilmiş ve yeni cihaz ekleme süreçleri sıfır hata (zero-error) ile kararlı bir yapıya kavuşturulmuştur.</w:t>
      </w:r>
    </w:p>
    <w:p>
      <w:pPr>
        <w:keepNext/>
        <w:spacing w:before="360" w:after="160"/>
      </w:pPr>
      <w:r>
        <w:rPr>
          <w:rFonts w:ascii="Arial" w:hAnsi="Arial"/>
          <w:b/>
          <w:color w:val="1A3648"/>
          <w:sz w:val="40"/>
        </w:rPr>
        <w:t>2. Tespit Edilen Problemler ve Çözüm Adımları</w:t>
      </w:r>
    </w:p>
    <w:p>
      <w:pPr>
        <w:spacing w:after="120"/>
      </w:pPr>
      <w:r>
        <w:rPr>
          <w:rFonts w:ascii="Arial" w:hAnsi="Arial"/>
          <w:color w:val="2D3748"/>
          <w:sz w:val="21"/>
        </w:rPr>
        <w:t>Sistem genelinde zincirleme aksamalara yol açan 3 ana kritik problem noktası belirlenmiş ve mimari standartlara uygun olarak düzeltilmiştir:</w:t>
      </w:r>
    </w:p>
    <w:p>
      <w:pPr>
        <w:pStyle w:val="ListBullet"/>
        <w:spacing w:after="80" w:line="276" w:lineRule="auto"/>
      </w:pPr>
      <w:r>
        <w:rPr>
          <w:rFonts w:ascii="Arial" w:hAnsi="Arial"/>
          <w:b/>
          <w:color w:val="1A3648"/>
        </w:rPr>
        <w:t>Form Senkronizasyon ve Sayfa Yenileme Hatası:</w:t>
        <w:br/>
      </w:r>
      <w:r>
        <w:rPr>
          <w:rFonts w:ascii="Arial" w:hAnsi="Arial"/>
        </w:rPr>
        <w:t>Kullanıcı 'Sisteme Kaydet' butonuna bastığında form tarayıcıyı varsayılan olarak yeniliyor, JavaScript input içindeki veriyi okuyamadan bellek temizlendiği için 'Cihaz adı boş olamaz!' uyarısı fırlatıyordu. Ayrıca forma bağlı mükerrer event dinleyicileri çakışma yaratmaktaydı. Bu durum cihazlar.js içinde submit olayları tek çatı altında birleştirilerek ve event.preventDefault() entegrasyonu ile sayfa yenilenmesi engellenerek çözülmüştür.</w:t>
      </w:r>
    </w:p>
    <w:p>
      <w:pPr>
        <w:pStyle w:val="ListBullet"/>
        <w:spacing w:after="80" w:line="276" w:lineRule="auto"/>
      </w:pPr>
      <w:r>
        <w:rPr>
          <w:rFonts w:ascii="Arial" w:hAnsi="Arial"/>
          <w:b/>
          <w:color w:val="1A3648"/>
        </w:rPr>
        <w:t>Veritabanı Veri Tipi Uyuşmazlığı (SqlException):</w:t>
        <w:br/>
      </w:r>
      <w:r>
        <w:rPr>
          <w:rFonts w:ascii="Arial" w:hAnsi="Arial"/>
        </w:rPr>
        <w:t>SQL Server üzerinde bit (0 veya 1) olarak tanımlanan Device_Status kolonuna, frontend üzerinden metinsel olarak 'offline' (nvarchar) değeri gönderilmekteydi. Bu durum veritabanı motorunun dönüşüm hatası fırlatarak çökelmesine sebep oluyordu. Çözüm olarak veri tipi tüm katmanlarda mantıksal bool mimarisine adapte edilmiş, böylece tam uyumluluk sağlanmıştır.</w:t>
      </w:r>
    </w:p>
    <w:p>
      <w:pPr>
        <w:pStyle w:val="ListBullet"/>
        <w:spacing w:after="240" w:line="276" w:lineRule="auto"/>
      </w:pPr>
      <w:r>
        <w:rPr>
          <w:rFonts w:ascii="Arial" w:hAnsi="Arial"/>
          <w:b/>
          <w:color w:val="1A3648"/>
        </w:rPr>
        <w:t>Arka Plan Derleme Hatası (Type Conversion Error):</w:t>
        <w:br/>
      </w:r>
      <w:r>
        <w:rPr>
          <w:rFonts w:ascii="Arial" w:hAnsi="Arial"/>
        </w:rPr>
        <w:t>Device_Status alanı backend modelinde bool tipine çekildiğinde, Empty_Space_Control.cs yardımcı sınıfı içerisindeki string.IsNullOrWhiteSpace() metodu derleme hatasına (Compile Error) yol açmaktaydı. İlgili doğrulama metodu, bool mantıksal lojiğine göre yeniden tasarlanarak sistemin derleme kilitleri kaldırılmış ve güvenlik duvarı korunmuştur.</w:t>
      </w:r>
    </w:p>
    <w:p>
      <w:pPr>
        <w:keepNext/>
        <w:spacing w:before="360" w:after="160"/>
      </w:pPr>
      <w:r>
        <w:rPr>
          <w:rFonts w:ascii="Arial" w:hAnsi="Arial"/>
          <w:b/>
          <w:color w:val="1A3648"/>
          <w:sz w:val="40"/>
        </w:rPr>
        <w:t>3. Güncel Sistem Mimarisi ve Veri Akışı</w:t>
      </w:r>
    </w:p>
    <w:p>
      <w:pPr>
        <w:spacing w:line="300" w:lineRule="auto" w:after="160"/>
      </w:pPr>
      <w:r>
        <w:rPr>
          <w:rFonts w:ascii="Arial" w:hAnsi="Arial"/>
          <w:color w:val="2D3748"/>
          <w:sz w:val="21"/>
        </w:rPr>
        <w:t>Yeni mimari tasarımda veri akışı katı kurallarla korunan, tip güvenli (type-safe) ve asenkron bir boru hattı (pipeline) üzerinden yürütülmektedir. Süreç sırasıyla şu adımları izler:</w:t>
      </w:r>
    </w:p>
    <w:p>
      <w:pPr>
        <w:pStyle w:val="ListNumber"/>
        <w:spacing w:after="60" w:line="276" w:lineRule="auto"/>
      </w:pPr>
      <w:r>
        <w:rPr>
          <w:rFonts w:ascii="Arial" w:hAnsi="Arial"/>
          <w:b/>
        </w:rPr>
        <w:t>1. Arayüz Katmanı (HTML/JS):</w:t>
      </w:r>
      <w:r>
        <w:rPr>
          <w:rFonts w:ascii="Arial" w:hAnsi="Arial"/>
        </w:rPr>
        <w:t xml:space="preserve"> Kullanıcı verileri girer. cihazlar.js formu yakalar, sayfa yenilenmesini durdurur ve arayüzdeki terminal kutusuna anlık durum logunu düşürür.</w:t>
      </w:r>
    </w:p>
    <w:p>
      <w:pPr>
        <w:pStyle w:val="ListNumber"/>
        <w:spacing w:after="60" w:line="276" w:lineRule="auto"/>
      </w:pPr>
      <w:r>
        <w:rPr>
          <w:rFonts w:ascii="Arial" w:hAnsi="Arial"/>
          <w:b/>
        </w:rPr>
        <w:t>2. API İstek Katmanı (Fetch/Endpoint):</w:t>
      </w:r>
      <w:r>
        <w:rPr>
          <w:rFonts w:ascii="Arial" w:hAnsi="Arial"/>
        </w:rPr>
        <w:t xml:space="preserve"> CihazlarEndpoint.js verileri toplar ve Device_Status: false (bool) olacak şekilde JSON formatında asenkron olarak backend API'ye post eder.</w:t>
      </w:r>
    </w:p>
    <w:p>
      <w:pPr>
        <w:pStyle w:val="ListNumber"/>
        <w:spacing w:after="60" w:line="276" w:lineRule="auto"/>
      </w:pPr>
      <w:r>
        <w:rPr>
          <w:rFonts w:ascii="Arial" w:hAnsi="Arial"/>
          <w:b/>
        </w:rPr>
        <w:t>3. Güvenlik ve Doğrulama Katmanı (Helpers):</w:t>
      </w:r>
      <w:r>
        <w:rPr>
          <w:rFonts w:ascii="Arial" w:hAnsi="Arial"/>
        </w:rPr>
        <w:t xml:space="preserve"> Empty_Space_Control.cs devreye girer. Cihaz adı ve versiyon alanlarının boş olup olmadığını denetler. Tür uyuşmazlığına yol açmadan bool durum kontrolünü doğrular.</w:t>
      </w:r>
    </w:p>
    <w:p>
      <w:pPr>
        <w:pStyle w:val="ListNumber"/>
        <w:spacing w:after="60" w:line="276" w:lineRule="auto"/>
      </w:pPr>
      <w:r>
        <w:rPr>
          <w:rFonts w:ascii="Arial" w:hAnsi="Arial"/>
          <w:b/>
        </w:rPr>
        <w:t>4. Veritabanı Katmanı (SQL Server):</w:t>
      </w:r>
      <w:r>
        <w:rPr>
          <w:rFonts w:ascii="Arial" w:hAnsi="Arial"/>
        </w:rPr>
        <w:t xml:space="preserve"> Doğrulamadan başarıyla geçen veri modeli, SQL Server tarafından doğrudan bit tipinde 0 (Offline) karşılığı olarak veri tabanına hatasız şekilde işlenir.</w:t>
      </w:r>
    </w:p>
    <w:p>
      <w:pPr>
        <w:spacing w:after="120"/>
      </w:pPr>
    </w:p>
    <w:p>
      <w:pPr>
        <w:keepNext/>
        <w:spacing w:before="360" w:after="160"/>
      </w:pPr>
      <w:r>
        <w:rPr>
          <w:rFonts w:ascii="Arial" w:hAnsi="Arial"/>
          <w:b/>
          <w:color w:val="1A3648"/>
          <w:sz w:val="40"/>
        </w:rPr>
        <w:t>4. Sistem Bileşenlerinin Son Durum Tablosu</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tcMar>
              <w:top w:w="100" w:type="dxa"/>
              <w:bottom w:w="100" w:type="dxa"/>
              <w:left w:w="120" w:type="dxa"/>
              <w:right w:w="120" w:type="dxa"/>
            </w:tcMar>
            <w:shd w:val="clear" w:color="auto" w:fill="1A365D"/>
          </w:tcPr>
          <w:p>
            <w:pPr>
              <w:spacing w:line="276" w:lineRule="auto" w:after="0"/>
              <w:jc w:val="center"/>
            </w:pPr>
            <w:r>
              <w:rPr>
                <w:rFonts w:ascii="Arial" w:hAnsi="Arial"/>
                <w:b/>
                <w:color w:val="FFFFFF"/>
                <w:sz w:val="19"/>
              </w:rPr>
              <w:t>Katman / Dosya</w:t>
            </w:r>
          </w:p>
        </w:tc>
        <w:tc>
          <w:tcPr>
            <w:tcW w:type="dxa" w:w="1872"/>
            <w:tcMar>
              <w:top w:w="100" w:type="dxa"/>
              <w:bottom w:w="100" w:type="dxa"/>
              <w:left w:w="120" w:type="dxa"/>
              <w:right w:w="120" w:type="dxa"/>
            </w:tcMar>
            <w:shd w:val="clear" w:color="auto" w:fill="1A365D"/>
          </w:tcPr>
          <w:p>
            <w:pPr>
              <w:spacing w:line="276" w:lineRule="auto" w:after="0"/>
              <w:jc w:val="center"/>
            </w:pPr>
            <w:r>
              <w:rPr>
                <w:rFonts w:ascii="Arial" w:hAnsi="Arial"/>
                <w:b/>
                <w:color w:val="FFFFFF"/>
                <w:sz w:val="19"/>
              </w:rPr>
              <w:t>Görevi</w:t>
            </w:r>
          </w:p>
        </w:tc>
        <w:tc>
          <w:tcPr>
            <w:tcW w:type="dxa" w:w="1296"/>
            <w:tcMar>
              <w:top w:w="100" w:type="dxa"/>
              <w:bottom w:w="100" w:type="dxa"/>
              <w:left w:w="120" w:type="dxa"/>
              <w:right w:w="120" w:type="dxa"/>
            </w:tcMar>
            <w:shd w:val="clear" w:color="auto" w:fill="1A365D"/>
          </w:tcPr>
          <w:p>
            <w:pPr>
              <w:spacing w:line="276" w:lineRule="auto" w:after="0"/>
              <w:jc w:val="center"/>
            </w:pPr>
            <w:r>
              <w:rPr>
                <w:rFonts w:ascii="Arial" w:hAnsi="Arial"/>
                <w:b/>
                <w:color w:val="FFFFFF"/>
                <w:sz w:val="19"/>
              </w:rPr>
              <w:t>Durum</w:t>
            </w:r>
          </w:p>
        </w:tc>
        <w:tc>
          <w:tcPr>
            <w:tcW w:type="dxa" w:w="4032"/>
            <w:tcMar>
              <w:top w:w="100" w:type="dxa"/>
              <w:bottom w:w="100" w:type="dxa"/>
              <w:left w:w="120" w:type="dxa"/>
              <w:right w:w="120" w:type="dxa"/>
            </w:tcMar>
            <w:shd w:val="clear" w:color="auto" w:fill="1A365D"/>
          </w:tcPr>
          <w:p>
            <w:pPr>
              <w:spacing w:line="276" w:lineRule="auto" w:after="0"/>
              <w:jc w:val="center"/>
            </w:pPr>
            <w:r>
              <w:rPr>
                <w:rFonts w:ascii="Arial" w:hAnsi="Arial"/>
                <w:b/>
                <w:color w:val="FFFFFF"/>
                <w:sz w:val="19"/>
              </w:rPr>
              <w:t>Yapılan Değişiklik</w:t>
            </w:r>
          </w:p>
        </w:tc>
      </w:tr>
      <w:tr>
        <w:tc>
          <w:tcPr>
            <w:tcW w:type="dxa" w:w="2160"/>
            <w:tcMar>
              <w:top w:w="100" w:type="dxa"/>
              <w:bottom w:w="100" w:type="dxa"/>
              <w:left w:w="120" w:type="dxa"/>
              <w:right w:w="120" w:type="dxa"/>
            </w:tcMar>
            <w:shd w:val="clear" w:color="auto" w:fill="FFFFFF"/>
          </w:tcPr>
          <w:p>
            <w:pPr>
              <w:spacing w:line="276" w:lineRule="auto" w:after="0"/>
            </w:pPr>
            <w:r>
              <w:rPr>
                <w:rFonts w:ascii="Arial" w:hAnsi="Arial"/>
                <w:color w:val="2D3748"/>
                <w:sz w:val="19"/>
              </w:rPr>
              <w:t>cihazlar.html</w:t>
            </w:r>
          </w:p>
        </w:tc>
        <w:tc>
          <w:tcPr>
            <w:tcW w:type="dxa" w:w="1872"/>
            <w:tcMar>
              <w:top w:w="100" w:type="dxa"/>
              <w:bottom w:w="100" w:type="dxa"/>
              <w:left w:w="120" w:type="dxa"/>
              <w:right w:w="120" w:type="dxa"/>
            </w:tcMar>
            <w:shd w:val="clear" w:color="auto" w:fill="FFFFFF"/>
          </w:tcPr>
          <w:p>
            <w:pPr>
              <w:spacing w:line="276" w:lineRule="auto" w:after="0"/>
            </w:pPr>
            <w:r>
              <w:rPr>
                <w:rFonts w:ascii="Arial" w:hAnsi="Arial"/>
                <w:color w:val="2D3748"/>
                <w:sz w:val="19"/>
              </w:rPr>
              <w:t>Kullanıcı Arayüzü</w:t>
            </w:r>
          </w:p>
        </w:tc>
        <w:tc>
          <w:tcPr>
            <w:tcW w:type="dxa" w:w="1296"/>
            <w:tcMar>
              <w:top w:w="100" w:type="dxa"/>
              <w:bottom w:w="100" w:type="dxa"/>
              <w:left w:w="120" w:type="dxa"/>
              <w:right w:w="120" w:type="dxa"/>
            </w:tcMar>
            <w:shd w:val="clear" w:color="auto" w:fill="FFFFFF"/>
          </w:tcPr>
          <w:p>
            <w:pPr>
              <w:spacing w:line="276" w:lineRule="auto" w:after="0"/>
              <w:jc w:val="center"/>
            </w:pPr>
            <w:r>
              <w:rPr>
                <w:rFonts w:ascii="Arial" w:hAnsi="Arial"/>
                <w:b/>
                <w:color w:val="2F855A"/>
                <w:sz w:val="19"/>
              </w:rPr>
              <w:t>STABİL</w:t>
            </w:r>
          </w:p>
        </w:tc>
        <w:tc>
          <w:tcPr>
            <w:tcW w:type="dxa" w:w="4032"/>
            <w:tcMar>
              <w:top w:w="100" w:type="dxa"/>
              <w:bottom w:w="100" w:type="dxa"/>
              <w:left w:w="120" w:type="dxa"/>
              <w:right w:w="120" w:type="dxa"/>
            </w:tcMar>
            <w:shd w:val="clear" w:color="auto" w:fill="FFFFFF"/>
          </w:tcPr>
          <w:p>
            <w:pPr>
              <w:spacing w:line="276" w:lineRule="auto" w:after="0"/>
            </w:pPr>
            <w:r>
              <w:rPr>
                <w:rFonts w:ascii="Arial" w:hAnsi="Arial"/>
                <w:color w:val="2D3748"/>
                <w:sz w:val="19"/>
              </w:rPr>
              <w:t>Script yükleme sıraları ve asenkron çağrılar optimize edildi.</w:t>
            </w:r>
          </w:p>
        </w:tc>
      </w:tr>
      <w:tr>
        <w:tc>
          <w:tcPr>
            <w:tcW w:type="dxa" w:w="2160"/>
            <w:tcMar>
              <w:top w:w="100" w:type="dxa"/>
              <w:bottom w:w="100" w:type="dxa"/>
              <w:left w:w="120" w:type="dxa"/>
              <w:right w:w="120" w:type="dxa"/>
            </w:tcMar>
            <w:shd w:val="clear" w:color="auto" w:fill="F7FAFC"/>
          </w:tcPr>
          <w:p>
            <w:pPr>
              <w:spacing w:line="276" w:lineRule="auto" w:after="0"/>
            </w:pPr>
            <w:r>
              <w:rPr>
                <w:rFonts w:ascii="Arial" w:hAnsi="Arial"/>
                <w:color w:val="2D3748"/>
                <w:sz w:val="19"/>
              </w:rPr>
              <w:t>cihazlar.js</w:t>
            </w:r>
          </w:p>
        </w:tc>
        <w:tc>
          <w:tcPr>
            <w:tcW w:type="dxa" w:w="1872"/>
            <w:tcMar>
              <w:top w:w="100" w:type="dxa"/>
              <w:bottom w:w="100" w:type="dxa"/>
              <w:left w:w="120" w:type="dxa"/>
              <w:right w:w="120" w:type="dxa"/>
            </w:tcMar>
            <w:shd w:val="clear" w:color="auto" w:fill="F7FAFC"/>
          </w:tcPr>
          <w:p>
            <w:pPr>
              <w:spacing w:line="276" w:lineRule="auto" w:after="0"/>
            </w:pPr>
            <w:r>
              <w:rPr>
                <w:rFonts w:ascii="Arial" w:hAnsi="Arial"/>
                <w:color w:val="2D3748"/>
                <w:sz w:val="19"/>
              </w:rPr>
              <w:t>UI Kontrolleri &amp; Log</w:t>
            </w:r>
          </w:p>
        </w:tc>
        <w:tc>
          <w:tcPr>
            <w:tcW w:type="dxa" w:w="1296"/>
            <w:tcMar>
              <w:top w:w="100" w:type="dxa"/>
              <w:bottom w:w="100" w:type="dxa"/>
              <w:left w:w="120" w:type="dxa"/>
              <w:right w:w="120" w:type="dxa"/>
            </w:tcMar>
            <w:shd w:val="clear" w:color="auto" w:fill="F7FAFC"/>
          </w:tcPr>
          <w:p>
            <w:pPr>
              <w:spacing w:line="276" w:lineRule="auto" w:after="0"/>
              <w:jc w:val="center"/>
            </w:pPr>
            <w:r>
              <w:rPr>
                <w:rFonts w:ascii="Arial" w:hAnsi="Arial"/>
                <w:b/>
                <w:color w:val="2F855A"/>
                <w:sz w:val="19"/>
              </w:rPr>
              <w:t>STABİL</w:t>
            </w:r>
          </w:p>
        </w:tc>
        <w:tc>
          <w:tcPr>
            <w:tcW w:type="dxa" w:w="4032"/>
            <w:tcMar>
              <w:top w:w="100" w:type="dxa"/>
              <w:bottom w:w="100" w:type="dxa"/>
              <w:left w:w="120" w:type="dxa"/>
              <w:right w:w="120" w:type="dxa"/>
            </w:tcMar>
            <w:shd w:val="clear" w:color="auto" w:fill="F7FAFC"/>
          </w:tcPr>
          <w:p>
            <w:pPr>
              <w:spacing w:line="276" w:lineRule="auto" w:after="0"/>
            </w:pPr>
            <w:r>
              <w:rPr>
                <w:rFonts w:ascii="Arial" w:hAnsi="Arial"/>
                <w:color w:val="2D3748"/>
                <w:sz w:val="19"/>
              </w:rPr>
              <w:t>Çakışan submit eventleri temizlendi, tek dinamik tetikleyici yapıldı.</w:t>
            </w:r>
          </w:p>
        </w:tc>
      </w:tr>
      <w:tr>
        <w:tc>
          <w:tcPr>
            <w:tcW w:type="dxa" w:w="2160"/>
            <w:tcMar>
              <w:top w:w="100" w:type="dxa"/>
              <w:bottom w:w="100" w:type="dxa"/>
              <w:left w:w="120" w:type="dxa"/>
              <w:right w:w="120" w:type="dxa"/>
            </w:tcMar>
            <w:shd w:val="clear" w:color="auto" w:fill="FFFFFF"/>
          </w:tcPr>
          <w:p>
            <w:pPr>
              <w:spacing w:line="276" w:lineRule="auto" w:after="0"/>
            </w:pPr>
            <w:r>
              <w:rPr>
                <w:rFonts w:ascii="Arial" w:hAnsi="Arial"/>
                <w:color w:val="2D3748"/>
                <w:sz w:val="19"/>
              </w:rPr>
              <w:t>CihazlarEndpoint.js</w:t>
            </w:r>
          </w:p>
        </w:tc>
        <w:tc>
          <w:tcPr>
            <w:tcW w:type="dxa" w:w="1872"/>
            <w:tcMar>
              <w:top w:w="100" w:type="dxa"/>
              <w:bottom w:w="100" w:type="dxa"/>
              <w:left w:w="120" w:type="dxa"/>
              <w:right w:w="120" w:type="dxa"/>
            </w:tcMar>
            <w:shd w:val="clear" w:color="auto" w:fill="FFFFFF"/>
          </w:tcPr>
          <w:p>
            <w:pPr>
              <w:spacing w:line="276" w:lineRule="auto" w:after="0"/>
            </w:pPr>
            <w:r>
              <w:rPr>
                <w:rFonts w:ascii="Arial" w:hAnsi="Arial"/>
                <w:color w:val="2D3748"/>
                <w:sz w:val="19"/>
              </w:rPr>
              <w:t>API Köprüsü</w:t>
            </w:r>
          </w:p>
        </w:tc>
        <w:tc>
          <w:tcPr>
            <w:tcW w:type="dxa" w:w="1296"/>
            <w:tcMar>
              <w:top w:w="100" w:type="dxa"/>
              <w:bottom w:w="100" w:type="dxa"/>
              <w:left w:w="120" w:type="dxa"/>
              <w:right w:w="120" w:type="dxa"/>
            </w:tcMar>
            <w:shd w:val="clear" w:color="auto" w:fill="FFFFFF"/>
          </w:tcPr>
          <w:p>
            <w:pPr>
              <w:spacing w:line="276" w:lineRule="auto" w:after="0"/>
              <w:jc w:val="center"/>
            </w:pPr>
            <w:r>
              <w:rPr>
                <w:rFonts w:ascii="Arial" w:hAnsi="Arial"/>
                <w:b/>
                <w:color w:val="2F855A"/>
                <w:sz w:val="19"/>
              </w:rPr>
              <w:t>STABİL</w:t>
            </w:r>
          </w:p>
        </w:tc>
        <w:tc>
          <w:tcPr>
            <w:tcW w:type="dxa" w:w="4032"/>
            <w:tcMar>
              <w:top w:w="100" w:type="dxa"/>
              <w:bottom w:w="100" w:type="dxa"/>
              <w:left w:w="120" w:type="dxa"/>
              <w:right w:w="120" w:type="dxa"/>
            </w:tcMar>
            <w:shd w:val="clear" w:color="auto" w:fill="FFFFFF"/>
          </w:tcPr>
          <w:p>
            <w:pPr>
              <w:spacing w:line="276" w:lineRule="auto" w:after="0"/>
            </w:pPr>
            <w:r>
              <w:rPr>
                <w:rFonts w:ascii="Arial" w:hAnsi="Arial"/>
                <w:color w:val="2D3748"/>
                <w:sz w:val="19"/>
              </w:rPr>
              <w:t>Payload veri tipi 'offline' yerine doğrudan bool (false) yapıldı.</w:t>
            </w:r>
          </w:p>
        </w:tc>
      </w:tr>
      <w:tr>
        <w:tc>
          <w:tcPr>
            <w:tcW w:type="dxa" w:w="2160"/>
            <w:tcMar>
              <w:top w:w="100" w:type="dxa"/>
              <w:bottom w:w="100" w:type="dxa"/>
              <w:left w:w="120" w:type="dxa"/>
              <w:right w:w="120" w:type="dxa"/>
            </w:tcMar>
            <w:shd w:val="clear" w:color="auto" w:fill="F7FAFC"/>
          </w:tcPr>
          <w:p>
            <w:pPr>
              <w:spacing w:line="276" w:lineRule="auto" w:after="0"/>
            </w:pPr>
            <w:r>
              <w:rPr>
                <w:rFonts w:ascii="Arial" w:hAnsi="Arial"/>
                <w:color w:val="2D3748"/>
                <w:sz w:val="19"/>
              </w:rPr>
              <w:t>DeviceModels.cs</w:t>
            </w:r>
          </w:p>
        </w:tc>
        <w:tc>
          <w:tcPr>
            <w:tcW w:type="dxa" w:w="1872"/>
            <w:tcMar>
              <w:top w:w="100" w:type="dxa"/>
              <w:bottom w:w="100" w:type="dxa"/>
              <w:left w:w="120" w:type="dxa"/>
              <w:right w:w="120" w:type="dxa"/>
            </w:tcMar>
            <w:shd w:val="clear" w:color="auto" w:fill="F7FAFC"/>
          </w:tcPr>
          <w:p>
            <w:pPr>
              <w:spacing w:line="276" w:lineRule="auto" w:after="0"/>
            </w:pPr>
            <w:r>
              <w:rPr>
                <w:rFonts w:ascii="Arial" w:hAnsi="Arial"/>
                <w:color w:val="2D3748"/>
                <w:sz w:val="19"/>
              </w:rPr>
              <w:t>C# Veri Modeli</w:t>
            </w:r>
          </w:p>
        </w:tc>
        <w:tc>
          <w:tcPr>
            <w:tcW w:type="dxa" w:w="1296"/>
            <w:tcMar>
              <w:top w:w="100" w:type="dxa"/>
              <w:bottom w:w="100" w:type="dxa"/>
              <w:left w:w="120" w:type="dxa"/>
              <w:right w:w="120" w:type="dxa"/>
            </w:tcMar>
            <w:shd w:val="clear" w:color="auto" w:fill="F7FAFC"/>
          </w:tcPr>
          <w:p>
            <w:pPr>
              <w:spacing w:line="276" w:lineRule="auto" w:after="0"/>
              <w:jc w:val="center"/>
            </w:pPr>
            <w:r>
              <w:rPr>
                <w:rFonts w:ascii="Arial" w:hAnsi="Arial"/>
                <w:b/>
                <w:color w:val="2F855A"/>
                <w:sz w:val="19"/>
              </w:rPr>
              <w:t>STABİL</w:t>
            </w:r>
          </w:p>
        </w:tc>
        <w:tc>
          <w:tcPr>
            <w:tcW w:type="dxa" w:w="4032"/>
            <w:tcMar>
              <w:top w:w="100" w:type="dxa"/>
              <w:bottom w:w="100" w:type="dxa"/>
              <w:left w:w="120" w:type="dxa"/>
              <w:right w:w="120" w:type="dxa"/>
            </w:tcMar>
            <w:shd w:val="clear" w:color="auto" w:fill="F7FAFC"/>
          </w:tcPr>
          <w:p>
            <w:pPr>
              <w:spacing w:line="276" w:lineRule="auto" w:after="0"/>
            </w:pPr>
            <w:r>
              <w:rPr>
                <w:rFonts w:ascii="Arial" w:hAnsi="Arial"/>
                <w:color w:val="2D3748"/>
                <w:sz w:val="19"/>
              </w:rPr>
              <w:t>Device_Status mülkünün veri tipi string yerine bool olarak güncellendi.</w:t>
            </w:r>
          </w:p>
        </w:tc>
      </w:tr>
      <w:tr>
        <w:tc>
          <w:tcPr>
            <w:tcW w:type="dxa" w:w="2160"/>
            <w:tcMar>
              <w:top w:w="100" w:type="dxa"/>
              <w:bottom w:w="100" w:type="dxa"/>
              <w:left w:w="120" w:type="dxa"/>
              <w:right w:w="120" w:type="dxa"/>
            </w:tcMar>
            <w:shd w:val="clear" w:color="auto" w:fill="FFFFFF"/>
          </w:tcPr>
          <w:p>
            <w:pPr>
              <w:spacing w:line="276" w:lineRule="auto" w:after="0"/>
            </w:pPr>
            <w:r>
              <w:rPr>
                <w:rFonts w:ascii="Arial" w:hAnsi="Arial"/>
                <w:color w:val="2D3748"/>
                <w:sz w:val="19"/>
              </w:rPr>
              <w:t>Empty_Space_Control.cs</w:t>
            </w:r>
          </w:p>
        </w:tc>
        <w:tc>
          <w:tcPr>
            <w:tcW w:type="dxa" w:w="1872"/>
            <w:tcMar>
              <w:top w:w="100" w:type="dxa"/>
              <w:bottom w:w="100" w:type="dxa"/>
              <w:left w:w="120" w:type="dxa"/>
              <w:right w:w="120" w:type="dxa"/>
            </w:tcMar>
            <w:shd w:val="clear" w:color="auto" w:fill="FFFFFF"/>
          </w:tcPr>
          <w:p>
            <w:pPr>
              <w:spacing w:line="276" w:lineRule="auto" w:after="0"/>
            </w:pPr>
            <w:r>
              <w:rPr>
                <w:rFonts w:ascii="Arial" w:hAnsi="Arial"/>
                <w:color w:val="2D3748"/>
                <w:sz w:val="19"/>
              </w:rPr>
              <w:t>Güvenlik / Validasyon</w:t>
            </w:r>
          </w:p>
        </w:tc>
        <w:tc>
          <w:tcPr>
            <w:tcW w:type="dxa" w:w="1296"/>
            <w:tcMar>
              <w:top w:w="100" w:type="dxa"/>
              <w:bottom w:w="100" w:type="dxa"/>
              <w:left w:w="120" w:type="dxa"/>
              <w:right w:w="120" w:type="dxa"/>
            </w:tcMar>
            <w:shd w:val="clear" w:color="auto" w:fill="FFFFFF"/>
          </w:tcPr>
          <w:p>
            <w:pPr>
              <w:spacing w:line="276" w:lineRule="auto" w:after="0"/>
              <w:jc w:val="center"/>
            </w:pPr>
            <w:r>
              <w:rPr>
                <w:rFonts w:ascii="Arial" w:hAnsi="Arial"/>
                <w:b/>
                <w:color w:val="2F855A"/>
                <w:sz w:val="19"/>
              </w:rPr>
              <w:t>STABİL</w:t>
            </w:r>
          </w:p>
        </w:tc>
        <w:tc>
          <w:tcPr>
            <w:tcW w:type="dxa" w:w="4032"/>
            <w:tcMar>
              <w:top w:w="100" w:type="dxa"/>
              <w:bottom w:w="100" w:type="dxa"/>
              <w:left w:w="120" w:type="dxa"/>
              <w:right w:w="120" w:type="dxa"/>
            </w:tcMar>
            <w:shd w:val="clear" w:color="auto" w:fill="FFFFFF"/>
          </w:tcPr>
          <w:p>
            <w:pPr>
              <w:spacing w:line="276" w:lineRule="auto" w:after="0"/>
            </w:pPr>
            <w:r>
              <w:rPr>
                <w:rFonts w:ascii="Arial" w:hAnsi="Arial"/>
                <w:color w:val="2D3748"/>
                <w:sz w:val="19"/>
              </w:rPr>
              <w:t>string metotları temizlendi, yeni nesne türü kurallarına bağlandı.</w:t>
            </w:r>
          </w:p>
        </w:tc>
      </w:tr>
      <w:tr>
        <w:tc>
          <w:tcPr>
            <w:tcW w:type="dxa" w:w="2160"/>
            <w:tcMar>
              <w:top w:w="100" w:type="dxa"/>
              <w:bottom w:w="100" w:type="dxa"/>
              <w:left w:w="120" w:type="dxa"/>
              <w:right w:w="120" w:type="dxa"/>
            </w:tcMar>
            <w:shd w:val="clear" w:color="auto" w:fill="F7FAFC"/>
          </w:tcPr>
          <w:p>
            <w:pPr>
              <w:spacing w:line="276" w:lineRule="auto" w:after="0"/>
            </w:pPr>
            <w:r>
              <w:rPr>
                <w:rFonts w:ascii="Arial" w:hAnsi="Arial"/>
                <w:color w:val="2D3748"/>
                <w:sz w:val="19"/>
              </w:rPr>
              <w:t>SQL DB (Devices)</w:t>
            </w:r>
          </w:p>
        </w:tc>
        <w:tc>
          <w:tcPr>
            <w:tcW w:type="dxa" w:w="1872"/>
            <w:tcMar>
              <w:top w:w="100" w:type="dxa"/>
              <w:bottom w:w="100" w:type="dxa"/>
              <w:left w:w="120" w:type="dxa"/>
              <w:right w:w="120" w:type="dxa"/>
            </w:tcMar>
            <w:shd w:val="clear" w:color="auto" w:fill="F7FAFC"/>
          </w:tcPr>
          <w:p>
            <w:pPr>
              <w:spacing w:line="276" w:lineRule="auto" w:after="0"/>
            </w:pPr>
            <w:r>
              <w:rPr>
                <w:rFonts w:ascii="Arial" w:hAnsi="Arial"/>
                <w:color w:val="2D3748"/>
                <w:sz w:val="19"/>
              </w:rPr>
              <w:t>Veri Depolama</w:t>
            </w:r>
          </w:p>
        </w:tc>
        <w:tc>
          <w:tcPr>
            <w:tcW w:type="dxa" w:w="1296"/>
            <w:tcMar>
              <w:top w:w="100" w:type="dxa"/>
              <w:bottom w:w="100" w:type="dxa"/>
              <w:left w:w="120" w:type="dxa"/>
              <w:right w:w="120" w:type="dxa"/>
            </w:tcMar>
            <w:shd w:val="clear" w:color="auto" w:fill="F7FAFC"/>
          </w:tcPr>
          <w:p>
            <w:pPr>
              <w:spacing w:line="276" w:lineRule="auto" w:after="0"/>
              <w:jc w:val="center"/>
            </w:pPr>
            <w:r>
              <w:rPr>
                <w:rFonts w:ascii="Arial" w:hAnsi="Arial"/>
                <w:b/>
                <w:color w:val="2F855A"/>
                <w:sz w:val="19"/>
              </w:rPr>
              <w:t>STABİL</w:t>
            </w:r>
          </w:p>
        </w:tc>
        <w:tc>
          <w:tcPr>
            <w:tcW w:type="dxa" w:w="4032"/>
            <w:tcMar>
              <w:top w:w="100" w:type="dxa"/>
              <w:bottom w:w="100" w:type="dxa"/>
              <w:left w:w="120" w:type="dxa"/>
              <w:right w:w="120" w:type="dxa"/>
            </w:tcMar>
            <w:shd w:val="clear" w:color="auto" w:fill="F7FAFC"/>
          </w:tcPr>
          <w:p>
            <w:pPr>
              <w:spacing w:line="276" w:lineRule="auto" w:after="0"/>
            </w:pPr>
            <w:r>
              <w:rPr>
                <w:rFonts w:ascii="Arial" w:hAnsi="Arial"/>
                <w:color w:val="2D3748"/>
                <w:sz w:val="19"/>
              </w:rPr>
              <w:t>Gelen veri modeli bit (0) alanı ile tam eşleşti, hata bitti.</w:t>
            </w:r>
          </w:p>
        </w:tc>
      </w:tr>
    </w:tbl>
    <w:p>
      <w:pPr>
        <w:spacing w:before="240" w:after="80"/>
      </w:pPr>
    </w:p>
    <w:p>
      <w:pPr>
        <w:keepNext/>
        <w:spacing w:before="360" w:after="160"/>
      </w:pPr>
      <w:r>
        <w:rPr>
          <w:rFonts w:ascii="Arial" w:hAnsi="Arial"/>
          <w:b/>
          <w:color w:val="1A3648"/>
          <w:sz w:val="40"/>
        </w:rPr>
        <w:t>5. Sonuç ve Öneriler</w:t>
      </w:r>
    </w:p>
    <w:p>
      <w:pPr>
        <w:spacing w:line="300" w:lineRule="auto" w:after="240"/>
      </w:pPr>
      <w:r>
        <w:rPr>
          <w:rFonts w:ascii="Arial" w:hAnsi="Arial"/>
          <w:color w:val="2D3748"/>
          <w:sz w:val="21"/>
        </w:rPr>
        <w:t>Gerçekleştirilen bu köklü revizyon çalışmaları sonucunda HomeOS mimarisi üretim (production) kalitesinde bir kararlılığa ulaştırılmıştır. Katmanlar arası tip güvenliği tam olarak sağlandığı için gelecekte eklenecek yeni özellikler veya donanım sürücüleri için esnek ve kırılgan olmayan bir zemin hazırlanmıştır. Yol haritasının (roadmap) bir sonraki adımı olarak, arayüzdeki terminal kutusunun geçici hafızadan kurtarılıp localStorage veya backend üzerinde bir loglama servisine bağlanması, sistem geçmişinin takibi açısından önerilmektedir.</w:t>
      </w:r>
    </w:p>
    <w:tbl>
      <w:tblPr>
        <w:tblW w:type="auto" w:w="0"/>
        <w:jc w:val="center"/>
        <w:tblLayout w:type="fixed"/>
        <w:tblLook w:firstColumn="1" w:firstRow="1" w:lastColumn="0" w:lastRow="0" w:noHBand="0" w:noVBand="1" w:val="04A0"/>
      </w:tblPr>
      <w:tblGrid>
        <w:gridCol w:w="9360"/>
      </w:tblGrid>
      <w:tr>
        <w:tc>
          <w:tcPr>
            <w:tcW w:type="dxa" w:w="7920"/>
            <w:shd w:val="clear" w:color="auto" w:fill="F0F4F8"/>
            <w:tcMar>
              <w:top w:w="140" w:type="dxa"/>
              <w:bottom w:w="140" w:type="dxa"/>
              <w:left w:w="200" w:type="dxa"/>
              <w:right w:w="200" w:type="dxa"/>
            </w:tcMar>
            <w:tcBorders>
              <w:left w:val="single" w:sz="24" w:space="0" w:color="1A365D"/>
              <w:top w:val="none"/>
              <w:bottom w:val="none"/>
              <w:right w:val="none"/>
            </w:tcBorders>
          </w:tcPr>
          <w:p>
            <w:pPr>
              <w:spacing w:before="40" w:after="40" w:line="276" w:lineRule="auto"/>
            </w:pPr>
            <w:r>
              <w:rPr>
                <w:rFonts w:ascii="Arial" w:hAnsi="Arial"/>
                <w:i/>
                <w:color w:val="2D3748"/>
                <w:sz w:val="21"/>
              </w:rPr>
              <w:t>SİSTEM DURUMU ÖZETİ:</w:t>
              <w:br/>
              <w:t>Çekirdek yazılım servisleri, arayüz animasyon motorları, veri doğrulama filtreleri ve SQL Server ilişkisel veritabanı entegrasyonu %100 AKTİF, ENTEGRE ve STABİL olarak çalışmaktadır.</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