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鲜切水果批次追溯演练SOP与4张可填写表</w:t>
      </w:r>
    </w:p>
    <w:p>
      <w:r>
        <w:t>从一个原料批次，查到加工、成品、在库和门店去向；再把数量一层层对回来。</w:t>
      </w:r>
    </w:p>
    <w:p>
      <w:pPr>
        <w:pStyle w:val="Heading2"/>
      </w:pPr>
      <w:r>
        <w:t>一个具体触发事件</w:t>
      </w:r>
    </w:p>
    <w:p>
      <w:r>
        <w:t>以下为虚构教学场景：一家小型鲜切加工厂收到供应方关于原料批次P1的核查通知。仓库能找到到货单，班组也有加工记录，但P1与P2混用过，成品又分两次送到不同门店。负责人要回答的不是“表有没有填”，而是“哪些加工单用了P1、哪些成品关联它、现在分别在哪里、哪些数量还对不上”。</w:t>
      </w:r>
    </w:p>
    <w:p>
      <w:pPr>
        <w:pStyle w:val="Heading2"/>
      </w:pPr>
      <w:r>
        <w:t>这份资料解决什么</w:t>
      </w:r>
    </w:p>
    <w:p>
      <w:r>
        <w:t>用四张可填写表串起“到货批次→加工投入与产出→成品流转→演练核对”。不需要先上系统，先把批次关系和数量口径跑通；以后换Excel、扫码或业务系统，也沿用同一套业务对象和证据。本文不承诺几分钟完成或降低多少损失。</w:t>
      </w:r>
    </w:p>
    <w:p>
      <w:pPr>
        <w:pStyle w:val="Heading2"/>
      </w:pPr>
      <w:r>
        <w:t>使用对象与边界</w:t>
      </w:r>
    </w:p>
    <w:p>
      <w:r>
        <w:t>适用：能取得到货、加工和流转记录的小型鲜切加工厂、中央厨房及门店后场。负责人建议为质量负责人，仓库和生产分别提供原始记录，复核人独立对数。年限、资历和企业案例未作虚构背书。</w:t>
      </w:r>
    </w:p>
    <w:p>
      <w:r>
        <w:t>这是追溯演练与记录组织模板，不是食品安全处置、召回、保质期、温控、检验或产品放行意见。真实异常应按企业已批准的应急程序和适用要求，由有权限的质量负责人决定暂停、隔离、通知及后续处置；不能等演练表填完才处理。记录齐全不代表食品安全，数量对平不代表允许销售。</w:t>
      </w:r>
    </w:p>
    <w:p>
      <w:r>
        <w:t>教学编号P1/T1/F1是内部示例，不是GS1编码、监管备案或认证。本资料不把ChatGPT分析当作质量签字；不向外部AI上传客户姓名、电话、订单明细或商业秘密。</w:t>
      </w:r>
    </w:p>
    <w:p>
      <w:r>
        <w:br w:type="page"/>
      </w:r>
    </w:p>
    <w:p>
      <w:pPr>
        <w:pStyle w:val="Heading1"/>
      </w:pPr>
      <w:r>
        <w:t>01 先定口径，再按六步做演练</w:t>
      </w:r>
    </w:p>
    <w:p>
      <w:r>
        <w:t>开始前填写：演练负责人____；独立复核人____；冻结时点____；观察范围____；原料/成品计量单位____；称量或换算依据____；企业批准的允许差异____。缺少口径时先标“待核”，不使用本文自定的通用合格阈值。</w:t>
      </w:r>
    </w:p>
    <w:p>
      <w:pPr>
        <w:pStyle w:val="Heading2"/>
      </w:pPr>
      <w:r>
        <w:t>第一步：锁定批次，不只锁商品名称</w:t>
      </w:r>
    </w:p>
    <w:p>
      <w:r>
        <w:t>从通知或演练抽签选一个原料批次，核对品名、供方批号、内部批号、到货日期、数量和原凭证。两批同名水果不能合并成一个“苹果”项目；分批到货或供方重号时，内部编号须能区分。冻结的是本次查询快照，不是停止后续依法依规必要的处置。</w:t>
      </w:r>
    </w:p>
    <w:p>
      <w:pPr>
        <w:pStyle w:val="Heading2"/>
      </w:pPr>
      <w:r>
        <w:t>第二步：用加工单连接投入与产出</w:t>
      </w:r>
    </w:p>
    <w:p>
      <w:r>
        <w:t>同一加工单的每个投入批次、每个产出批次分别占一行，均带数量与单位。一个投入拆成多单、多个投入混成一单，都保留全部关系；不能只在成品标签上写一个代表性原料批次。批次改名需保留前后对应，不覆盖旧编号。</w:t>
      </w:r>
    </w:p>
    <w:p>
      <w:pPr>
        <w:pStyle w:val="Heading2"/>
      </w:pPr>
      <w:r>
        <w:t>第三步：沿关系找全后续批次</w:t>
      </w:r>
    </w:p>
    <w:p>
      <w:r>
        <w:t>从目标原料找关联加工单，再找这些加工单的全部成品；如有返工、重新分装或合批，继续追到新加工单和新成品，直到没有新的下游关系。用“已查加工单/已查批次”清单避免循环重复，不因流程记录绕回就漏查。缺一条关系即登记缺口。</w:t>
      </w:r>
    </w:p>
    <w:p>
      <w:pPr>
        <w:pStyle w:val="Heading2"/>
      </w:pPr>
      <w:r>
        <w:t>第四步：把关联成品逐项落到去向</w:t>
      </w:r>
    </w:p>
    <w:p>
      <w:r>
        <w:t>按发货事件号、成品批次、货位/收货方、数量、时间和单据查询。列出在库、在途、外部收货以及状态未知的部分；实际签收未取得时写“待证”，不把发货单当成已签收。对外通知由企业授权人员执行，不按演练数据群发。</w:t>
      </w:r>
    </w:p>
    <w:p>
      <w:pPr>
        <w:pStyle w:val="Heading2"/>
      </w:pPr>
      <w:r>
        <w:t>第五步：分层对数，不把原料和成品加成一笔</w:t>
      </w:r>
    </w:p>
    <w:p>
      <w:r>
        <w:t>原料层：到货＋已证实转入＝加工耗用＋退料/转出＋报废＋期末结余＋未解释差异。加工层：投入＝成品＋已记录副产物/工艺损失＋在制增减及差异。成品层：期初＋产出＋退回＋转入＝出库＋转出＋报废＋期末结余＋差异。同一观察窗、同一单位；没有发生的项目也要确认后才能填0。</w:t>
      </w:r>
    </w:p>
    <w:p>
      <w:pPr>
        <w:pStyle w:val="Heading2"/>
      </w:pPr>
      <w:r>
        <w:t>第六步：复核、留缺口、再演练</w:t>
      </w:r>
    </w:p>
    <w:p>
      <w:r>
        <w:t>第二人拿原凭证重算关联和数量，记录漏项、重项、未取得证据及责任人。整改后对同一缺口复测；资料仍缺时结论为“证据不足”，不是通过。演练完成时间记录真实起止，目标由企业设定，不能用预计时间冒充实际耗时。</w:t>
      </w:r>
    </w:p>
    <w:p>
      <w:r>
        <w:br w:type="page"/>
      </w:r>
    </w:p>
    <w:p>
      <w:pPr>
        <w:pStyle w:val="Heading1"/>
      </w:pPr>
      <w:r>
        <w:t>02 教学算例：40kg关联成品怎样对回来</w:t>
      </w:r>
    </w:p>
    <w:p>
      <w:r>
        <w:t>全部为作者设计的虚构数据；单位均为kg、同一冻结时点，无退回、在途或期初库存。为便于理解，本例只演示已知批次关系与质量数量平衡，不据此认定真实异常的最终影响范围。</w:t>
      </w:r>
    </w:p>
    <w:p>
      <w:pPr>
        <w:pStyle w:val="Heading2"/>
      </w:pPr>
      <w:r>
        <w:t>原料账</w:t>
      </w:r>
    </w:p>
    <w:p>
      <w:r>
        <w:t>P1到货40：T1耗用25，T2耗用10，结余5。核对：25＋10＋5＝40。P2到货30：T1耗用15，T3耗用12，结余3。核对：15＋12＋3＝30。</w:t>
      </w:r>
    </w:p>
    <w:p>
      <w:pPr>
        <w:pStyle w:val="Heading2"/>
      </w:pPr>
      <w:r>
        <w:t>加工账</w:t>
      </w:r>
    </w:p>
    <w:p>
      <w:r>
        <w:t>T1：P1的25＋P2的15＝投入40，产出F1为32，已记录副产物/工艺损失8。T2：P1投入10，产出F2为8，副产物/工艺损失2。T3：P2投入12，产出F3为9，副产物/工艺损失3。三张加工单分别对平；副产物/损失要有称量或记录依据，不能倒挤一个数字让等式成立。</w:t>
      </w:r>
    </w:p>
    <w:p>
      <w:pPr>
        <w:pStyle w:val="Heading2"/>
      </w:pPr>
      <w:r>
        <w:t>成品账</w:t>
      </w:r>
    </w:p>
    <w:p>
      <w:r>
        <w:t>F1产出32：在库6，门店A发货12，门店B发货14。F2产出8：在库3，门店A发货5。F3产出9：在库4，门店C发货5。全部成品49＝在库13＋已发36；本例的“已发”不等于对方已经签收。</w:t>
      </w:r>
    </w:p>
    <w:p>
      <w:pPr>
        <w:pStyle w:val="Heading2"/>
      </w:pPr>
      <w:r>
        <w:t>从P1查关系，不能按配方占比缩小成品范围</w:t>
      </w:r>
    </w:p>
    <w:p>
      <w:r>
        <w:t>P1→T1、T2→F1、F2。T1虽然还用了P2，仍应把F1整批列为P1关联批次；不能以P1只占投入25/40，就只追F1的25/40数量。按已知批次关系，关联成品共32＋8＝40。</w:t>
      </w:r>
    </w:p>
    <w:p>
      <w:r>
        <w:t>关联成品在库：6＋3＝9。关联成品已发：12＋14＋5＝31，其中门店A为17、门店B为14。核对：9＋31＝40。P1尚未加工的原料5另列原料层，不加进40kg成品中；5＋9＋31不是本例的成品总量。</w:t>
      </w:r>
    </w:p>
    <w:p>
      <w:r>
        <w:t>F3在本例已知加工关系里不与P1关联；只有在不存在共线、接触、错误投料等其他关联的假设下，才能作此演练结论。真实事件若信息不足，不可据此自动排除F3，由有权限的质量负责人继续核查影响范围。</w:t>
      </w:r>
    </w:p>
    <w:p>
      <w:pPr>
        <w:pStyle w:val="Heading2"/>
      </w:pPr>
      <w:r>
        <w:t>独立核算口令</w:t>
      </w:r>
    </w:p>
    <w:p>
      <w:r>
        <w:t>请复核人不看结论，先从P1在表2逐行找加工单，再找产出批次，用表3汇总去向，最后才对照40/9/31及A17/B14。找不到凭证的数字写“未取”；填对总数但漏掉一个门店，仍不算完成。</w:t>
      </w:r>
    </w:p>
    <w:p>
      <w:r>
        <w:br w:type="page"/>
      </w:r>
    </w:p>
    <w:p>
      <w:pPr>
        <w:pStyle w:val="Heading1"/>
      </w:pPr>
      <w:r>
        <w:t>03 表1：原料批次及到货凭证表</w:t>
      </w:r>
    </w:p>
    <w:p>
      <w:r>
        <w:t>一行一个可区分的原料批次。原始品名、供方批号、内部编号都保留；末列填写到货/称量/结余盘点凭证及复核人。空白行可在Word中增加，不要覆盖示例行后又把示例误认作实物。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191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内部批次</w:t>
            </w:r>
          </w:p>
        </w:tc>
        <w:tc>
          <w:tcPr>
            <w:tcW w:type="dxa" w:w="2154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品名 / 供方批号</w:t>
            </w:r>
          </w:p>
        </w:tc>
        <w:tc>
          <w:tcPr>
            <w:tcW w:type="dxa" w:w="1134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到货日期</w:t>
            </w:r>
          </w:p>
        </w:tc>
        <w:tc>
          <w:tcPr>
            <w:tcW w:type="dxa" w:w="907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到货kg</w:t>
            </w:r>
          </w:p>
        </w:tc>
        <w:tc>
          <w:tcPr>
            <w:tcW w:type="dxa" w:w="1701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结余kg / 时点</w:t>
            </w:r>
          </w:p>
        </w:tc>
        <w:tc>
          <w:tcPr>
            <w:tcW w:type="dxa" w:w="2778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凭证 / 复核</w:t>
            </w:r>
          </w:p>
        </w:tc>
      </w:tr>
      <w:tr>
        <w:trPr>
          <w:trHeight w:val="680"/>
          <w:cantSplit/>
        </w:trPr>
        <w:tc>
          <w:tcPr>
            <w:tcW w:type="dxa" w:w="1191"/>
          </w:tcPr>
          <w:p>
            <w:pPr>
              <w:spacing w:after="80" w:line="264" w:lineRule="auto"/>
            </w:pPr>
            <w:r>
              <w:rPr>
                <w:sz w:val="18"/>
              </w:rPr>
              <w:t>P1（示例）</w:t>
            </w:r>
          </w:p>
        </w:tc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sz w:val="18"/>
              </w:rPr>
              <w:t>示例水果 / SP-01</w:t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  <w:t>演练日</w:t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  <w:t>40</w:t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  <w:t>5 / 冻结时点</w:t>
            </w:r>
          </w:p>
        </w:tc>
        <w:tc>
          <w:tcPr>
            <w:tcW w:type="dxa" w:w="2778"/>
          </w:tcPr>
          <w:p>
            <w:pPr>
              <w:spacing w:after="80" w:line="264" w:lineRule="auto"/>
            </w:pPr>
            <w:r>
              <w:rPr>
                <w:sz w:val="18"/>
              </w:rPr>
              <w:t>示例凭证；非实物</w:t>
            </w:r>
          </w:p>
        </w:tc>
      </w:tr>
      <w:tr>
        <w:trPr>
          <w:trHeight w:val="680"/>
          <w:cantSplit/>
        </w:trPr>
        <w:tc>
          <w:tcPr>
            <w:tcW w:type="dxa" w:w="119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77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19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77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19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77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19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77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19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77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19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77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19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77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</w:tbl>
    <w:p>
      <w:r>
        <w:t>填表规则：到货净重与容器皮重分开；按箱记录时保留每箱规格及换算来源。改数量需保留原值、修订值、原因、时间与人员，不删除原凭证。退料和其他转出另有事件明细，不能仅靠结余倒推加工耗用。</w:t>
      </w:r>
    </w:p>
    <w:p>
      <w:r>
        <w:t>交叉检查：表2所列所有投入批次应能在表1找到；找不到的投入先挂缺口，不现场新编一条“到货记录”补齐。供方未给批号时标明缺失并按企业程序处理，不能自制供方批号。</w:t>
      </w:r>
    </w:p>
    <w:p>
      <w:r>
        <w:br w:type="page"/>
      </w:r>
    </w:p>
    <w:p>
      <w:pPr>
        <w:pStyle w:val="Heading1"/>
      </w:pPr>
      <w:r>
        <w:t>04 表2：加工投入—产出关系表</w:t>
      </w:r>
    </w:p>
    <w:p>
      <w:r>
        <w:t>每个加工单有多行。方向填写“投入”“产出”“副产物/损失”等；物料批次列写真正的批次号。输入与输出靠同一加工单关联，不把多种原料硬挤到一格，更不能把损失当作新成品批次。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701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加工单 / 时间</w:t>
            </w:r>
          </w:p>
        </w:tc>
        <w:tc>
          <w:tcPr>
            <w:tcW w:type="dxa" w:w="1134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关联方向</w:t>
            </w:r>
          </w:p>
        </w:tc>
        <w:tc>
          <w:tcPr>
            <w:tcW w:type="dxa" w:w="1417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物料批次</w:t>
            </w:r>
          </w:p>
        </w:tc>
        <w:tc>
          <w:tcPr>
            <w:tcW w:type="dxa" w:w="907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数量kg</w:t>
            </w:r>
          </w:p>
        </w:tc>
        <w:tc>
          <w:tcPr>
            <w:tcW w:type="dxa" w:w="2211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去向 / 说明</w:t>
            </w:r>
          </w:p>
        </w:tc>
        <w:tc>
          <w:tcPr>
            <w:tcW w:type="dxa" w:w="2494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凭证 / 人</w:t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  <w:t>T1（示例）</w:t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  <w:t>投入</w:t>
            </w:r>
          </w:p>
        </w:tc>
        <w:tc>
          <w:tcPr>
            <w:tcW w:type="dxa" w:w="1417"/>
          </w:tcPr>
          <w:p>
            <w:pPr>
              <w:spacing w:after="80" w:line="264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  <w:t>25</w:t>
            </w:r>
          </w:p>
        </w:tc>
        <w:tc>
          <w:tcPr>
            <w:tcW w:type="dxa" w:w="2211"/>
          </w:tcPr>
          <w:p>
            <w:pPr>
              <w:spacing w:after="80" w:line="264" w:lineRule="auto"/>
            </w:pPr>
            <w:r>
              <w:rPr>
                <w:sz w:val="18"/>
              </w:rPr>
              <w:t>进入T1</w:t>
            </w:r>
          </w:p>
        </w:tc>
        <w:tc>
          <w:tcPr>
            <w:tcW w:type="dxa" w:w="2494"/>
          </w:tcPr>
          <w:p>
            <w:pPr>
              <w:spacing w:after="80" w:line="264" w:lineRule="auto"/>
            </w:pPr>
            <w:r>
              <w:rPr>
                <w:sz w:val="18"/>
              </w:rPr>
              <w:t>演练数据</w:t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  <w:t>T1（示例）</w:t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  <w:t>投入</w:t>
            </w:r>
          </w:p>
        </w:tc>
        <w:tc>
          <w:tcPr>
            <w:tcW w:type="dxa" w:w="1417"/>
          </w:tcPr>
          <w:p>
            <w:pPr>
              <w:spacing w:after="80" w:line="264" w:lineRule="auto"/>
            </w:pPr>
            <w:r>
              <w:rPr>
                <w:sz w:val="18"/>
              </w:rPr>
              <w:t>P2</w:t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2211"/>
          </w:tcPr>
          <w:p>
            <w:pPr>
              <w:spacing w:after="80" w:line="264" w:lineRule="auto"/>
            </w:pPr>
            <w:r>
              <w:rPr>
                <w:sz w:val="18"/>
              </w:rPr>
              <w:t>进入T1</w:t>
            </w:r>
          </w:p>
        </w:tc>
        <w:tc>
          <w:tcPr>
            <w:tcW w:type="dxa" w:w="2494"/>
          </w:tcPr>
          <w:p>
            <w:pPr>
              <w:spacing w:after="80" w:line="264" w:lineRule="auto"/>
            </w:pPr>
            <w:r>
              <w:rPr>
                <w:sz w:val="18"/>
              </w:rPr>
              <w:t>演练数据</w:t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  <w:t>T1（示例）</w:t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  <w:t>产出</w:t>
            </w:r>
          </w:p>
        </w:tc>
        <w:tc>
          <w:tcPr>
            <w:tcW w:type="dxa" w:w="1417"/>
          </w:tcPr>
          <w:p>
            <w:pPr>
              <w:spacing w:after="80" w:line="264" w:lineRule="auto"/>
            </w:pPr>
            <w:r>
              <w:rPr>
                <w:sz w:val="18"/>
              </w:rPr>
              <w:t>F1</w:t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  <w:t>32</w:t>
            </w:r>
          </w:p>
        </w:tc>
        <w:tc>
          <w:tcPr>
            <w:tcW w:type="dxa" w:w="2211"/>
          </w:tcPr>
          <w:p>
            <w:pPr>
              <w:spacing w:after="80" w:line="264" w:lineRule="auto"/>
            </w:pPr>
            <w:r>
              <w:rPr>
                <w:sz w:val="18"/>
              </w:rPr>
              <w:t>待接流转表</w:t>
            </w:r>
          </w:p>
        </w:tc>
        <w:tc>
          <w:tcPr>
            <w:tcW w:type="dxa" w:w="2494"/>
          </w:tcPr>
          <w:p>
            <w:pPr>
              <w:spacing w:after="80" w:line="264" w:lineRule="auto"/>
            </w:pPr>
            <w:r>
              <w:rPr>
                <w:sz w:val="18"/>
              </w:rPr>
              <w:t>演练数据</w:t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  <w:t>T1（示例）</w:t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  <w:t>副产物/损失</w:t>
            </w:r>
          </w:p>
        </w:tc>
        <w:tc>
          <w:tcPr>
            <w:tcW w:type="dxa" w:w="1417"/>
          </w:tcPr>
          <w:p>
            <w:pPr>
              <w:spacing w:after="80" w:line="264" w:lineRule="auto"/>
            </w:pPr>
            <w:r>
              <w:rPr>
                <w:sz w:val="18"/>
              </w:rPr>
              <w:t>不作成品编号</w:t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211"/>
          </w:tcPr>
          <w:p>
            <w:pPr>
              <w:spacing w:after="80" w:line="264" w:lineRule="auto"/>
            </w:pPr>
            <w:r>
              <w:rPr>
                <w:sz w:val="18"/>
              </w:rPr>
              <w:t>分项依据另附</w:t>
            </w:r>
          </w:p>
        </w:tc>
        <w:tc>
          <w:tcPr>
            <w:tcW w:type="dxa" w:w="2494"/>
          </w:tcPr>
          <w:p>
            <w:pPr>
              <w:spacing w:after="80" w:line="264" w:lineRule="auto"/>
            </w:pPr>
            <w:r>
              <w:rPr>
                <w:sz w:val="18"/>
              </w:rPr>
              <w:t>演练数据</w:t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21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21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21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21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21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</w:tbl>
    <w:p>
      <w:r>
        <w:t>配套信息：工位/线体____；班次____；涉及包装批次____；其他接触/共线关联____。有记录才能判断，无记录不能填“无”。包装关联按企业追溯需要另建关系，不用食品重量去平衡包装件数。</w:t>
      </w:r>
    </w:p>
    <w:p>
      <w:r>
        <w:t>返工、重包装、合批：使用新的处理事件/加工单，同时保留旧成品批次→新加工单→新成品批次。若需要成分级质量平衡，由专业人员定义口径；本文整批关联方法不计算成分浓度或产品安全风险。</w:t>
      </w:r>
    </w:p>
    <w:p>
      <w:r>
        <w:br w:type="page"/>
      </w:r>
    </w:p>
    <w:p>
      <w:pPr>
        <w:pStyle w:val="Heading1"/>
      </w:pPr>
      <w:r>
        <w:t>05 表3：成品流转与数量明细表</w:t>
      </w:r>
    </w:p>
    <w:p>
      <w:r>
        <w:t>一行一个真实流转事件，事件号唯一；同一发货单含多个成品批次时分行，保留行号。方向区分产出入库、发货、退回、库内转移、报废等。门店与货位不能都只写“已发”，否则查不到下一步应联系谁。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701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事件号 / 日期</w:t>
            </w:r>
          </w:p>
        </w:tc>
        <w:tc>
          <w:tcPr>
            <w:tcW w:type="dxa" w:w="1134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成品批次</w:t>
            </w:r>
          </w:p>
        </w:tc>
        <w:tc>
          <w:tcPr>
            <w:tcW w:type="dxa" w:w="1814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事件 / 单号</w:t>
            </w:r>
          </w:p>
        </w:tc>
        <w:tc>
          <w:tcPr>
            <w:tcW w:type="dxa" w:w="1928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去向 / 货位</w:t>
            </w:r>
          </w:p>
        </w:tc>
        <w:tc>
          <w:tcPr>
            <w:tcW w:type="dxa" w:w="850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数量kg</w:t>
            </w:r>
          </w:p>
        </w:tc>
        <w:tc>
          <w:tcPr>
            <w:tcW w:type="dxa" w:w="2438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证据 / 复核</w:t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  <w:t>OUT-01（示例）</w:t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  <w:t>F1</w:t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  <w:t>发货 / S01-1</w:t>
            </w:r>
          </w:p>
        </w:tc>
        <w:tc>
          <w:tcPr>
            <w:tcW w:type="dxa" w:w="1928"/>
          </w:tcPr>
          <w:p>
            <w:pPr>
              <w:spacing w:after="80" w:line="264" w:lineRule="auto"/>
            </w:pPr>
            <w:r>
              <w:rPr>
                <w:sz w:val="18"/>
              </w:rPr>
              <w:t>门店A</w:t>
            </w:r>
          </w:p>
        </w:tc>
        <w:tc>
          <w:tcPr>
            <w:tcW w:type="dxa" w:w="850"/>
          </w:tcPr>
          <w:p>
            <w:pPr>
              <w:spacing w:after="80" w:line="264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2438"/>
          </w:tcPr>
          <w:p>
            <w:pPr>
              <w:spacing w:after="80" w:line="264" w:lineRule="auto"/>
            </w:pPr>
            <w:r>
              <w:rPr>
                <w:sz w:val="18"/>
              </w:rPr>
              <w:t>演练发货，签收未取</w:t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  <w:t>STOCK-01（示例）</w:t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  <w:t>F1</w:t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  <w:t>期末盘点</w:t>
            </w:r>
          </w:p>
        </w:tc>
        <w:tc>
          <w:tcPr>
            <w:tcW w:type="dxa" w:w="1928"/>
          </w:tcPr>
          <w:p>
            <w:pPr>
              <w:spacing w:after="80" w:line="264" w:lineRule="auto"/>
            </w:pPr>
            <w:r>
              <w:rPr>
                <w:sz w:val="18"/>
              </w:rPr>
              <w:t>库内指定货位</w:t>
            </w:r>
          </w:p>
        </w:tc>
        <w:tc>
          <w:tcPr>
            <w:tcW w:type="dxa" w:w="850"/>
          </w:tcPr>
          <w:p>
            <w:pPr>
              <w:spacing w:after="8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438"/>
          </w:tcPr>
          <w:p>
            <w:pPr>
              <w:spacing w:after="80" w:line="264" w:lineRule="auto"/>
            </w:pPr>
            <w:r>
              <w:rPr>
                <w:sz w:val="18"/>
              </w:rPr>
              <w:t>快照量，不再计一次流入</w:t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43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43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43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43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43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438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</w:tbl>
    <w:p>
      <w:r>
        <w:t>重要：本表可同时登记事件和期末盘点，但汇总时必须区分。盘点是快照，不是再发生一次入库；同一货物库内移位不能又计成产出或已发门店。反向事件如退回须单列，不覆盖原发货记录。</w:t>
      </w:r>
    </w:p>
    <w:p>
      <w:r>
        <w:t>对账式（同一单位、同一窗口）：期初＋产出入库＋退回＋转入－出库－转出－报废－期末结余＝差异。例中无期初与退回等项目，才能简化为产出＝已发＋在库；现实不能直接套简式。</w:t>
      </w:r>
    </w:p>
    <w:p>
      <w:r>
        <w:t>联系信息建议保存在企业受控通讯录，以收货方代码关联；对外公开资料不带真实手机、地址和订单号。已发、已签收、已联系、已冻结、已回收是不同状态，逐项凭证确认，不用一个“完成”代替。</w:t>
      </w:r>
    </w:p>
    <w:p>
      <w:r>
        <w:br w:type="page"/>
      </w:r>
    </w:p>
    <w:p>
      <w:pPr>
        <w:pStyle w:val="Heading1"/>
      </w:pPr>
      <w:r>
        <w:t>06 表4：演练核对、缺口与复测表</w:t>
      </w:r>
    </w:p>
    <w:p>
      <w:r>
        <w:t>本表不是放行审批单。演练结论只允许写“本次范围证据齐备且核对完成”“存在差异/漏项”“证据不足”，不写“食品安全合格”。有权限的负责人按本企业制度作后续决定。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  <w:cantSplit/>
        </w:trPr>
        <w:tc>
          <w:tcPr>
            <w:tcW w:type="dxa" w:w="1757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核对项 / 对象</w:t>
            </w:r>
          </w:p>
        </w:tc>
        <w:tc>
          <w:tcPr>
            <w:tcW w:type="dxa" w:w="2268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应查范围 / 基准</w:t>
            </w:r>
          </w:p>
        </w:tc>
        <w:tc>
          <w:tcPr>
            <w:tcW w:type="dxa" w:w="1701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实查结果</w:t>
            </w:r>
          </w:p>
        </w:tc>
        <w:tc>
          <w:tcPr>
            <w:tcW w:type="dxa" w:w="1814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缺口 / 下一步</w:t>
            </w:r>
          </w:p>
        </w:tc>
        <w:tc>
          <w:tcPr>
            <w:tcW w:type="dxa" w:w="2324"/>
            <w:shd w:fill="E9F0F5"/>
          </w:tcPr>
          <w:p>
            <w:pPr>
              <w:spacing w:after="80" w:line="264" w:lineRule="auto"/>
            </w:pPr>
            <w:r>
              <w:rPr>
                <w:sz w:val="18"/>
              </w:rPr>
              <w:t>责任 / 期限 / 复核</w:t>
            </w:r>
          </w:p>
        </w:tc>
      </w:tr>
      <w:tr>
        <w:trPr>
          <w:trHeight w:val="680"/>
          <w:cantSplit/>
        </w:trPr>
        <w:tc>
          <w:tcPr>
            <w:tcW w:type="dxa" w:w="1757"/>
          </w:tcPr>
          <w:p>
            <w:pPr>
              <w:spacing w:after="80" w:line="264" w:lineRule="auto"/>
            </w:pPr>
            <w:r>
              <w:rPr>
                <w:sz w:val="18"/>
              </w:rPr>
              <w:t>目标原料批次</w:t>
            </w:r>
          </w:p>
        </w:tc>
        <w:tc>
          <w:tcPr>
            <w:tcW w:type="dxa" w:w="2268"/>
          </w:tcPr>
          <w:p>
            <w:pPr>
              <w:spacing w:after="80" w:line="264" w:lineRule="auto"/>
            </w:pPr>
            <w:r>
              <w:rPr>
                <w:sz w:val="18"/>
              </w:rPr>
              <w:t>批次号、到货凭证、冻结时点</w:t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57"/>
          </w:tcPr>
          <w:p>
            <w:pPr>
              <w:spacing w:after="80" w:line="264" w:lineRule="auto"/>
            </w:pPr>
            <w:r>
              <w:rPr>
                <w:sz w:val="18"/>
              </w:rPr>
              <w:t>加工关系完整性</w:t>
            </w:r>
          </w:p>
        </w:tc>
        <w:tc>
          <w:tcPr>
            <w:tcW w:type="dxa" w:w="2268"/>
          </w:tcPr>
          <w:p>
            <w:pPr>
              <w:spacing w:after="80" w:line="264" w:lineRule="auto"/>
            </w:pPr>
            <w:r>
              <w:rPr>
                <w:sz w:val="18"/>
              </w:rPr>
              <w:t>所有使用它的加工单及后续返工</w:t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57"/>
          </w:tcPr>
          <w:p>
            <w:pPr>
              <w:spacing w:after="80" w:line="264" w:lineRule="auto"/>
            </w:pPr>
            <w:r>
              <w:rPr>
                <w:sz w:val="18"/>
              </w:rPr>
              <w:t>成品批次完整性</w:t>
            </w:r>
          </w:p>
        </w:tc>
        <w:tc>
          <w:tcPr>
            <w:tcW w:type="dxa" w:w="2268"/>
          </w:tcPr>
          <w:p>
            <w:pPr>
              <w:spacing w:after="80" w:line="264" w:lineRule="auto"/>
            </w:pPr>
            <w:r>
              <w:rPr>
                <w:sz w:val="18"/>
              </w:rPr>
              <w:t>混批整批关联；不按配方比例截取</w:t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57"/>
          </w:tcPr>
          <w:p>
            <w:pPr>
              <w:spacing w:after="80" w:line="264" w:lineRule="auto"/>
            </w:pPr>
            <w:r>
              <w:rPr>
                <w:sz w:val="18"/>
              </w:rPr>
              <w:t>去向完整性</w:t>
            </w:r>
          </w:p>
        </w:tc>
        <w:tc>
          <w:tcPr>
            <w:tcW w:type="dxa" w:w="2268"/>
          </w:tcPr>
          <w:p>
            <w:pPr>
              <w:spacing w:after="80" w:line="264" w:lineRule="auto"/>
            </w:pPr>
            <w:r>
              <w:rPr>
                <w:sz w:val="18"/>
              </w:rPr>
              <w:t>在库、在途、所有收货方与未知项</w:t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57"/>
          </w:tcPr>
          <w:p>
            <w:pPr>
              <w:spacing w:after="80" w:line="264" w:lineRule="auto"/>
            </w:pPr>
            <w:r>
              <w:rPr>
                <w:sz w:val="18"/>
              </w:rPr>
              <w:t>原料数量平衡</w:t>
            </w:r>
          </w:p>
        </w:tc>
        <w:tc>
          <w:tcPr>
            <w:tcW w:type="dxa" w:w="2268"/>
          </w:tcPr>
          <w:p>
            <w:pPr>
              <w:spacing w:after="80" w:line="264" w:lineRule="auto"/>
            </w:pPr>
            <w:r>
              <w:rPr>
                <w:sz w:val="18"/>
              </w:rPr>
              <w:t>到货/耗用/结余等同窗同单位</w:t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57"/>
          </w:tcPr>
          <w:p>
            <w:pPr>
              <w:spacing w:after="80" w:line="264" w:lineRule="auto"/>
            </w:pPr>
            <w:r>
              <w:rPr>
                <w:sz w:val="18"/>
              </w:rPr>
              <w:t>成品数量平衡</w:t>
            </w:r>
          </w:p>
        </w:tc>
        <w:tc>
          <w:tcPr>
            <w:tcW w:type="dxa" w:w="2268"/>
          </w:tcPr>
          <w:p>
            <w:pPr>
              <w:spacing w:after="80" w:line="264" w:lineRule="auto"/>
            </w:pPr>
            <w:r>
              <w:rPr>
                <w:sz w:val="18"/>
              </w:rPr>
              <w:t>所有入、出、盘点及差异</w:t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57"/>
          </w:tcPr>
          <w:p>
            <w:pPr>
              <w:spacing w:after="80" w:line="264" w:lineRule="auto"/>
            </w:pPr>
            <w:r>
              <w:rPr>
                <w:sz w:val="18"/>
              </w:rPr>
              <w:t>凭证独立复核</w:t>
            </w:r>
          </w:p>
        </w:tc>
        <w:tc>
          <w:tcPr>
            <w:tcW w:type="dxa" w:w="2268"/>
          </w:tcPr>
          <w:p>
            <w:pPr>
              <w:spacing w:after="80" w:line="264" w:lineRule="auto"/>
            </w:pPr>
            <w:r>
              <w:rPr>
                <w:sz w:val="18"/>
              </w:rPr>
              <w:t>第二人对原单，不只看汇总数</w:t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  <w:tr>
        <w:trPr>
          <w:trHeight w:val="680"/>
          <w:cantSplit/>
        </w:trPr>
        <w:tc>
          <w:tcPr>
            <w:tcW w:type="dxa" w:w="1757"/>
          </w:tcPr>
          <w:p>
            <w:pPr>
              <w:spacing w:after="80" w:line="264" w:lineRule="auto"/>
            </w:pPr>
            <w:r>
              <w:rPr>
                <w:sz w:val="18"/>
              </w:rPr>
              <w:t>缺口整改与复测</w:t>
            </w:r>
          </w:p>
        </w:tc>
        <w:tc>
          <w:tcPr>
            <w:tcW w:type="dxa" w:w="2268"/>
          </w:tcPr>
          <w:p>
            <w:pPr>
              <w:spacing w:after="80" w:line="264" w:lineRule="auto"/>
            </w:pPr>
            <w:r>
              <w:rPr>
                <w:sz w:val="18"/>
              </w:rPr>
              <w:t>改了哪条记录，复测证据在哪里</w:t>
            </w:r>
          </w:p>
        </w:tc>
        <w:tc>
          <w:tcPr>
            <w:tcW w:type="dxa" w:w="1701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  <w:tc>
          <w:tcPr>
            <w:tcW w:type="dxa" w:w="2324"/>
          </w:tcPr>
          <w:p>
            <w:pPr>
              <w:spacing w:after="80" w:line="264" w:lineRule="auto"/>
            </w:pPr>
            <w:r>
              <w:rPr>
                <w:sz w:val="18"/>
              </w:rPr>
            </w:r>
          </w:p>
        </w:tc>
      </w:tr>
    </w:tbl>
    <w:p>
      <w:r>
        <w:t>本次起止时间____至____；实际用时____；缺失证据____项；重复记录____项；未解释数量差异____及单位____。未取得资料写“未取/待证”，不要写0。</w:t>
      </w:r>
    </w:p>
    <w:p>
      <w:r>
        <w:t>负责人____；独立复核人____；记录版本____；凭证存放位置____；下一次复测条件____。如复测失败保留前版，不能删掉旧缺口后重新填“通过”。</w:t>
      </w:r>
    </w:p>
    <w:p>
      <w:r>
        <w:br w:type="page"/>
      </w:r>
    </w:p>
    <w:p>
      <w:pPr>
        <w:pStyle w:val="Heading1"/>
      </w:pPr>
      <w:r>
        <w:t>07 怎样验收，怎样避免表格看起来都对</w:t>
      </w:r>
    </w:p>
    <w:p>
      <w:pPr>
        <w:pStyle w:val="Heading2"/>
      </w:pPr>
      <w:r>
        <w:t>四个演练验收点</w:t>
      </w:r>
    </w:p>
    <w:p>
      <w:r>
        <w:t>1. 关系完整：从目标批次能列出全部关联加工单、成品和去向，有原凭证支撑。2. 计量一致：每一层都注明单位、时点和换算，差异按企业批准的口径处理。3. 缺口可见：漏单、重号、未签收和未知关系显式列出，不用总量对平盖住。4. 可重复：另一人拿同一快照能复算同一已知关系和数值；不要求他们相信填表人。</w:t>
      </w:r>
    </w:p>
    <w:p>
      <w:pPr>
        <w:pStyle w:val="Heading2"/>
      </w:pPr>
      <w:r>
        <w:t>常见失败与改法</w:t>
      </w:r>
    </w:p>
    <w:p>
      <w:r>
        <w:t>只记录“今天切了苹果” → 保留具体批次与加工单关系；T1混批只追一部分F1 → 按关联批次整批列出；门店A两次发货漏一行 → 按唯一事件号及行号查重；把库存快照计成入库 → 快照与流入分开；箱数与kg直接相加 → 先记录换算依据；有意倒挤“损失”对平 → 回到称量和原凭证；返工沿用旧单号 → 保留新的关系；查不到便填0 → 明示缺证及补证责任。</w:t>
      </w:r>
    </w:p>
    <w:p>
      <w:pPr>
        <w:pStyle w:val="Heading2"/>
      </w:pPr>
      <w:r>
        <w:t>把AI放在合适的位置</w:t>
      </w:r>
    </w:p>
    <w:p>
      <w:r>
        <w:t>可以让AI帮助检查匿名化表格的必填项、重复编号或公式，先用虚构算例验证；不要让它凭常识补出不存在的批号、凭证或签收。批次关系、实际盘点、风险判定和企业签字由有权限人员确认。本资料不是某个已上架AI技能的运行成果，也不声称当前工厂布局技能能完成追溯或食品安全判断。</w:t>
      </w:r>
    </w:p>
    <w:p>
      <w:pPr>
        <w:pStyle w:val="Heading2"/>
      </w:pPr>
      <w:r>
        <w:t>来源与原创说明</w:t>
      </w:r>
    </w:p>
    <w:p>
      <w:r>
        <w:t>参考GS1官方说明中的事件/数据组织概念：追溯记录围绕实际流转事件及描述该事件的数据展开。官方说明更新日期2024-08-22，本资料查阅日期2026-10-14。该概念不等于本文模板已符合GS1标准，也不授予编码或认证。</w:t>
      </w:r>
    </w:p>
    <w:p>
      <w:r>
        <w:t>来源：What is the GS1 Traceability Standard?</w:t>
        <w:br/>
        <w:t>https://support.gs1.org/support/solutions/articles/43000734535-what-is-the-gs1-traceability-standard-</w:t>
      </w:r>
    </w:p>
    <w:p>
      <w:r>
        <w:t>本文场景、四张表、编号、算例、步骤与验收口径由作者设计并经逐项算术核对；所有业务数字均为教学假设，未虚构客户、节省比例或收入。使用AI辅助编写和本地排版，作者对内容负责；这不等于平台原创审核或收益资格已通过。没有转载模板、图片或第三方付费素材。</w:t>
      </w:r>
    </w:p>
    <w:p>
      <w:pPr>
        <w:pStyle w:val="Heading2"/>
      </w:pPr>
      <w:r>
        <w:t>下一步，只做一件事</w:t>
      </w:r>
    </w:p>
    <w:p>
      <w:r>
        <w:t>在企业授权下抽取一个真实原料批次，先用这四张表完成一次内部演练，把无法接上的第一条批次关系补齐。不要先买软件，也不要把培训表直接替代企业审批文件。其他作者原创现场管理资料可在本账号主页查看；不要求读者转出平台提交敏感数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作者原创教学资料 · 2026-10-14 · 第 </w:t>
    </w:r>
    <w:fldSimple w:instr="PAGE"/>
    <w:r>
      <w:t xml:space="preserve"> 页 | 非产品放行或认证文件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LeanEdge 现场管理工具 | 批次追溯演练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6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6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836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鲜切水果批次追溯演练SOP与4张可填写表</dc:title>
  <dc:subject>鲜切加工批次追溯演练：多对多关联、混批范围、数量对账与四张可填写表</dc:subject>
  <dc:creator>LeanEdge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