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Burn-to-Value Redemption Mechanism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</w:t>
      </w:r>
      <w:r w:rsidDel="00000000" w:rsidR="00000000" w:rsidRPr="00000000">
        <w:rPr>
          <w:b w:val="1"/>
          <w:rtl w:val="0"/>
        </w:rPr>
        <w:t xml:space="preserve">burns a token</w:t>
      </w:r>
      <w:r w:rsidDel="00000000" w:rsidR="00000000" w:rsidRPr="00000000">
        <w:rPr>
          <w:rtl w:val="0"/>
        </w:rPr>
        <w:t xml:space="preserve">, they receive </w:t>
      </w:r>
      <w:r w:rsidDel="00000000" w:rsidR="00000000" w:rsidRPr="00000000">
        <w:rPr>
          <w:b w:val="1"/>
          <w:rtl w:val="0"/>
        </w:rPr>
        <w:t xml:space="preserve">USDT (or another stable asset) in return</w:t>
      </w:r>
      <w:r w:rsidDel="00000000" w:rsidR="00000000" w:rsidRPr="00000000">
        <w:rPr>
          <w:rtl w:val="0"/>
        </w:rPr>
        <w:t xml:space="preserve">. This provides liquidity and stability while ensuring token holders can </w:t>
      </w:r>
      <w:r w:rsidDel="00000000" w:rsidR="00000000" w:rsidRPr="00000000">
        <w:rPr>
          <w:b w:val="1"/>
          <w:rtl w:val="0"/>
        </w:rPr>
        <w:t xml:space="preserve">redeem value directly from the treasury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the Burn Process Works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User initiates a burn transaction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token to a burn contract.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Smart contract verifies burn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Ensures eligibility and treasury balance.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Treasury releases equivalent 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USDT, ETH, BTC, or SOL is sent to the user.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Burn event is recorded on Solana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Ensures transparency and prevents double-spending.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Price Calculation for Redemptions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token is backed by </w:t>
      </w:r>
      <w:r w:rsidDel="00000000" w:rsidR="00000000" w:rsidRPr="00000000">
        <w:rPr>
          <w:b w:val="1"/>
          <w:rtl w:val="0"/>
        </w:rPr>
        <w:t xml:space="preserve">gold, silver, and Bitcoin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burn value is calculated based on treasury reserves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Burn\ Value = Token\ Quantity \times Treasury\ Backing\ Price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Treasury Backing Price</w:t>
      </w:r>
      <w:r w:rsidDel="00000000" w:rsidR="00000000" w:rsidRPr="00000000">
        <w:rPr>
          <w:rtl w:val="0"/>
        </w:rPr>
        <w:t xml:space="preserve"> = A weighted average of </w:t>
      </w:r>
      <w:r w:rsidDel="00000000" w:rsidR="00000000" w:rsidRPr="00000000">
        <w:rPr>
          <w:b w:val="1"/>
          <w:rtl w:val="0"/>
        </w:rPr>
        <w:t xml:space="preserve">gold, silver, and Bitcoin prices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USDT Payout</w:t>
      </w:r>
      <w:r w:rsidDel="00000000" w:rsidR="00000000" w:rsidRPr="00000000">
        <w:rPr>
          <w:rtl w:val="0"/>
        </w:rPr>
        <w:t xml:space="preserve"> = Stable equivalent based on this calculated price.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Example Burn Transaction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User </w:t>
      </w:r>
      <w:r w:rsidDel="00000000" w:rsidR="00000000" w:rsidRPr="00000000">
        <w:rPr>
          <w:b w:val="1"/>
          <w:rtl w:val="0"/>
        </w:rPr>
        <w:t xml:space="preserve">burns 100 SMT tokens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Smart contract </w:t>
      </w:r>
      <w:r w:rsidDel="00000000" w:rsidR="00000000" w:rsidRPr="00000000">
        <w:rPr>
          <w:b w:val="1"/>
          <w:rtl w:val="0"/>
        </w:rPr>
        <w:t xml:space="preserve">checks treasury price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token is worth </w:t>
      </w:r>
      <w:r w:rsidDel="00000000" w:rsidR="00000000" w:rsidRPr="00000000">
        <w:rPr>
          <w:b w:val="1"/>
          <w:rtl w:val="0"/>
        </w:rPr>
        <w:t xml:space="preserve">$2.50 USDT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Treasury releases </w:t>
      </w:r>
      <w:r w:rsidDel="00000000" w:rsidR="00000000" w:rsidRPr="00000000">
        <w:rPr>
          <w:b w:val="1"/>
          <w:rtl w:val="0"/>
        </w:rPr>
        <w:t xml:space="preserve">$250 USDT</w:t>
      </w:r>
      <w:r w:rsidDel="00000000" w:rsidR="00000000" w:rsidRPr="00000000">
        <w:rPr>
          <w:rtl w:val="0"/>
        </w:rPr>
        <w:t xml:space="preserve"> to user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Burn event is </w:t>
      </w:r>
      <w:r w:rsidDel="00000000" w:rsidR="00000000" w:rsidRPr="00000000">
        <w:rPr>
          <w:b w:val="1"/>
          <w:rtl w:val="0"/>
        </w:rPr>
        <w:t xml:space="preserve">logged on Solana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Ensuring Treasury Stability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prevent </w:t>
      </w:r>
      <w:r w:rsidDel="00000000" w:rsidR="00000000" w:rsidRPr="00000000">
        <w:rPr>
          <w:b w:val="1"/>
          <w:rtl w:val="0"/>
        </w:rPr>
        <w:t xml:space="preserve">treasury depletion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burn function can be limited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Daily burn limits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Prevents draining funds too quickly.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Dynamic burn pricing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Adjusts USDT payout rate based on treasury reserves.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Governance control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DAO can adjust burn parameters as needed.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This Matters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Creates a built-in liquidity exit</w:t>
      </w:r>
      <w:r w:rsidDel="00000000" w:rsidR="00000000" w:rsidRPr="00000000">
        <w:rPr>
          <w:rtl w:val="0"/>
        </w:rPr>
        <w:t xml:space="preserve"> for token holders.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Maintains stable token economy</w:t>
      </w:r>
      <w:r w:rsidDel="00000000" w:rsidR="00000000" w:rsidRPr="00000000">
        <w:rPr>
          <w:rtl w:val="0"/>
        </w:rPr>
        <w:t xml:space="preserve"> by reducing supply over time.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Incentivizes long-term holding</w:t>
      </w:r>
      <w:r w:rsidDel="00000000" w:rsidR="00000000" w:rsidRPr="00000000">
        <w:rPr>
          <w:rtl w:val="0"/>
        </w:rPr>
        <w:t xml:space="preserve"> since token value is linked to real-world assets.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