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A4766"/>
          <w:sz w:val="32"/>
        </w:rPr>
        <w:t>Analyse-Dossier zum Paper</w:t>
      </w:r>
    </w:p>
    <w:p>
      <w:pPr>
        <w:spacing w:after="160"/>
        <w:jc w:val="center"/>
      </w:pPr>
      <w:r>
        <w:rPr>
          <w:rFonts w:ascii="Aptos Display" w:hAnsi="Aptos Display"/>
          <w:b/>
          <w:color w:val="0F2E4A"/>
          <w:sz w:val="36"/>
        </w:rPr>
        <w:t>Generating SPARQL from Natural Language Using Chain-of-Thoughts Prompting</w:t>
      </w:r>
    </w:p>
    <w:tbl>
      <w:tblPr>
        <w:tblStyle w:val="TableGrid"/>
        <w:tblW w:type="auto" w:w="0"/>
        <w:jc w:val="center"/>
        <w:tblLayout w:type="fixed"/>
        <w:tblLook w:firstColumn="1" w:firstRow="1" w:lastColumn="0" w:lastRow="0" w:noHBand="0" w:noVBand="1" w:val="04A0"/>
      </w:tblPr>
      <w:tblGrid>
        <w:gridCol w:w="2381"/>
        <w:gridCol w:w="6690"/>
      </w:tblGrid>
      <w:tr>
        <w:tc>
          <w:tcPr>
            <w:tcW w:type="dxa" w:w="5100"/>
            <w:vAlign w:val="center"/>
            <w:tcMar>
              <w:top w:w="70" w:type="dxa"/>
              <w:start w:w="90" w:type="dxa"/>
              <w:bottom w:w="70" w:type="dxa"/>
              <w:end w:w="90" w:type="dxa"/>
            </w:tcMar>
            <w:shd w:fill="DCEBF7"/>
          </w:tcPr>
          <w:p>
            <w:pPr>
              <w:spacing w:before="0" w:after="0" w:line="240" w:lineRule="auto"/>
              <w:jc w:val="left"/>
            </w:pPr>
            <w:r>
              <w:rPr>
                <w:rFonts w:ascii="Aptos" w:hAnsi="Aptos"/>
                <w:b/>
                <w:color w:val="1F4E79"/>
                <w:sz w:val="19"/>
              </w:rPr>
              <w:t>Autor:innen</w:t>
            </w:r>
          </w:p>
        </w:tc>
        <w:tc>
          <w:tcPr>
            <w:tcW w:type="dxa" w:w="5100"/>
            <w:vAlign w:val="center"/>
            <w:tcMar>
              <w:top w:w="70" w:type="dxa"/>
              <w:start w:w="90" w:type="dxa"/>
              <w:bottom w:w="70" w:type="dxa"/>
              <w:end w:w="90" w:type="dxa"/>
            </w:tcMar>
          </w:tcPr>
          <w:p>
            <w:pPr>
              <w:spacing w:before="0" w:after="0" w:line="240" w:lineRule="auto"/>
              <w:jc w:val="left"/>
            </w:pPr>
            <w:r>
              <w:rPr>
                <w:rFonts w:ascii="Aptos" w:hAnsi="Aptos"/>
                <w:sz w:val="19"/>
              </w:rPr>
              <w:t>Hamada M. Zahera, Ali Manzoor, Mohamed Ahmed Sherif, Diego Moussallem, Axel-Cyrille Ngonga Ngomo</w:t>
            </w:r>
          </w:p>
        </w:tc>
      </w:tr>
      <w:tr>
        <w:tc>
          <w:tcPr>
            <w:tcW w:type="dxa" w:w="5100"/>
            <w:vAlign w:val="center"/>
            <w:tcMar>
              <w:top w:w="70" w:type="dxa"/>
              <w:start w:w="90" w:type="dxa"/>
              <w:bottom w:w="70" w:type="dxa"/>
              <w:end w:w="90" w:type="dxa"/>
            </w:tcMar>
            <w:shd w:fill="DCEBF7"/>
          </w:tcPr>
          <w:p>
            <w:pPr>
              <w:spacing w:before="0" w:after="0" w:line="240" w:lineRule="auto"/>
              <w:jc w:val="left"/>
            </w:pPr>
            <w:r>
              <w:rPr>
                <w:rFonts w:ascii="Aptos" w:hAnsi="Aptos"/>
                <w:b/>
                <w:color w:val="1F4E79"/>
                <w:sz w:val="19"/>
              </w:rPr>
              <w:t>Venue / Jahr</w:t>
            </w:r>
          </w:p>
        </w:tc>
        <w:tc>
          <w:tcPr>
            <w:tcW w:type="dxa" w:w="5100"/>
            <w:vAlign w:val="center"/>
            <w:tcMar>
              <w:top w:w="70" w:type="dxa"/>
              <w:start w:w="90" w:type="dxa"/>
              <w:bottom w:w="70" w:type="dxa"/>
              <w:end w:w="90" w:type="dxa"/>
            </w:tcMar>
          </w:tcPr>
          <w:p>
            <w:pPr>
              <w:spacing w:before="0" w:after="0" w:line="240" w:lineRule="auto"/>
              <w:jc w:val="left"/>
            </w:pPr>
            <w:r>
              <w:rPr>
                <w:rFonts w:ascii="Aptos" w:hAnsi="Aptos"/>
                <w:sz w:val="19"/>
              </w:rPr>
              <w:t>SEMANTiCS 2024, Amsterdam, Netherlands</w:t>
            </w:r>
          </w:p>
        </w:tc>
      </w:tr>
      <w:tr>
        <w:tc>
          <w:tcPr>
            <w:tcW w:type="dxa" w:w="5100"/>
            <w:vAlign w:val="center"/>
            <w:tcMar>
              <w:top w:w="70" w:type="dxa"/>
              <w:start w:w="90" w:type="dxa"/>
              <w:bottom w:w="70" w:type="dxa"/>
              <w:end w:w="90" w:type="dxa"/>
            </w:tcMar>
            <w:shd w:fill="DCEBF7"/>
          </w:tcPr>
          <w:p>
            <w:pPr>
              <w:spacing w:before="0" w:after="0" w:line="240" w:lineRule="auto"/>
              <w:jc w:val="left"/>
            </w:pPr>
            <w:r>
              <w:rPr>
                <w:rFonts w:ascii="Aptos" w:hAnsi="Aptos"/>
                <w:b/>
                <w:color w:val="1F4E79"/>
                <w:sz w:val="19"/>
              </w:rPr>
              <w:t>Publikationstyp</w:t>
            </w:r>
          </w:p>
        </w:tc>
        <w:tc>
          <w:tcPr>
            <w:tcW w:type="dxa" w:w="5100"/>
            <w:vAlign w:val="center"/>
            <w:tcMar>
              <w:top w:w="70" w:type="dxa"/>
              <w:start w:w="90" w:type="dxa"/>
              <w:bottom w:w="70" w:type="dxa"/>
              <w:end w:w="90" w:type="dxa"/>
            </w:tcMar>
          </w:tcPr>
          <w:p>
            <w:pPr>
              <w:spacing w:before="0" w:after="0" w:line="240" w:lineRule="auto"/>
              <w:jc w:val="left"/>
            </w:pPr>
            <w:r>
              <w:rPr>
                <w:rFonts w:ascii="Aptos" w:hAnsi="Aptos"/>
                <w:sz w:val="19"/>
              </w:rPr>
              <w:t>Konferenzbeitrag (Conference Paper), Englisch</w:t>
            </w:r>
          </w:p>
        </w:tc>
      </w:tr>
      <w:tr>
        <w:tc>
          <w:tcPr>
            <w:tcW w:type="dxa" w:w="5100"/>
            <w:vAlign w:val="center"/>
            <w:tcMar>
              <w:top w:w="70" w:type="dxa"/>
              <w:start w:w="90" w:type="dxa"/>
              <w:bottom w:w="70" w:type="dxa"/>
              <w:end w:w="90" w:type="dxa"/>
            </w:tcMar>
            <w:shd w:fill="DCEBF7"/>
          </w:tcPr>
          <w:p>
            <w:pPr>
              <w:spacing w:before="0" w:after="0" w:line="240" w:lineRule="auto"/>
              <w:jc w:val="left"/>
            </w:pPr>
            <w:r>
              <w:rPr>
                <w:rFonts w:ascii="Aptos" w:hAnsi="Aptos"/>
                <w:b/>
                <w:color w:val="1F4E79"/>
                <w:sz w:val="19"/>
              </w:rPr>
              <w:t>Verfügbare Quelle</w:t>
            </w:r>
          </w:p>
        </w:tc>
        <w:tc>
          <w:tcPr>
            <w:tcW w:type="dxa" w:w="5100"/>
            <w:vAlign w:val="center"/>
            <w:tcMar>
              <w:top w:w="70" w:type="dxa"/>
              <w:start w:w="90" w:type="dxa"/>
              <w:bottom w:w="70" w:type="dxa"/>
              <w:end w:w="90" w:type="dxa"/>
            </w:tcMar>
          </w:tcPr>
          <w:p>
            <w:pPr>
              <w:spacing w:before="0" w:after="0" w:line="240" w:lineRule="auto"/>
              <w:jc w:val="left"/>
            </w:pPr>
            <w:r>
              <w:rPr>
                <w:rFonts w:ascii="Aptos" w:hAnsi="Aptos"/>
                <w:sz w:val="19"/>
              </w:rPr>
              <w:t>DICE Research PDF / Eintrag im Forschungsinformationssystem der Universität Paderborn</w:t>
            </w:r>
          </w:p>
        </w:tc>
      </w:tr>
    </w:tbl>
    <w:p/>
    <w:tbl>
      <w:tblPr>
        <w:tblW w:type="auto" w:w="0"/>
        <w:tblLayout w:type="fixed"/>
        <w:tblLook w:firstColumn="1" w:firstRow="1" w:lastColumn="0" w:lastRow="0" w:noHBand="0" w:noVBand="1" w:val="04A0"/>
      </w:tblPr>
      <w:tblGrid>
        <w:gridCol w:w="9071"/>
      </w:tblGrid>
      <w:tr>
        <w:tc>
          <w:tcPr>
            <w:tcW w:type="dxa" w:w="10200"/>
            <w:shd w:fill="F2F7FB"/>
            <w:tcMar>
              <w:top w:w="120" w:type="dxa"/>
              <w:start w:w="120" w:type="dxa"/>
              <w:bottom w:w="120" w:type="dxa"/>
              <w:end w:w="120" w:type="dxa"/>
            </w:tcMar>
          </w:tcPr>
          <w:p>
            <w:pPr>
              <w:spacing w:line="276" w:lineRule="auto" w:after="0"/>
            </w:pPr>
            <w:r>
              <w:rPr>
                <w:b/>
                <w:sz w:val="21"/>
              </w:rPr>
              <w:t xml:space="preserve">Kernaussage in einem Satz: </w:t>
            </w:r>
            <w:r>
              <w:rPr>
                <w:sz w:val="21"/>
              </w:rPr>
              <w:t>Das Paper zeigt, dass Chain-of-Thought-Prompting in Kombination mit zusätzlichem Kontext zu Entitäten, Relationen und einem semantisch ähnlichen One-Shot-Beispiel die SPARQL-Generierung über verschiedene Knowledge Graphs deutlich verbessern kann.</w:t>
            </w:r>
          </w:p>
        </w:tc>
      </w:tr>
    </w:tbl>
    <w:p>
      <w:pPr>
        <w:spacing w:before="200" w:after="60"/>
      </w:pPr>
      <w:r>
        <w:rPr>
          <w:rFonts w:ascii="Aptos Display" w:hAnsi="Aptos Display"/>
          <w:b/>
          <w:color w:val="1F4E79"/>
          <w:sz w:val="26"/>
        </w:rPr>
        <w:t>1. Kurzüberblick</w:t>
      </w:r>
    </w:p>
    <w:p>
      <w:pPr>
        <w:spacing w:line="276" w:lineRule="auto" w:after="120"/>
      </w:pPr>
      <w:r>
        <w:rPr>
          <w:rFonts w:ascii="Aptos" w:hAnsi="Aptos"/>
          <w:sz w:val="21"/>
        </w:rPr>
        <w:t>Für mich ist dieses Paper vor allem deshalb wichtig, weil es einen klaren Prompting-Ansatz für Text-to-SPARQL zeigt, der ohne klassisches Fine-Tuning auskommt und trotzdem auf mehreren Benchmarks starke Ergebnisse erreicht. Der Beitrag liegt nicht in einem neuen trainierten Modell, sondern in einer sorgfältig konstruierten Prompt-Strategie mit Chain-of-Thought, Entitäten-/Relationskontext und semantisch ausgewähltem One-Shot-Beispiel.</w:t>
      </w:r>
    </w:p>
    <w:p>
      <w:pPr>
        <w:spacing w:line="276" w:lineRule="auto" w:after="120"/>
      </w:pPr>
      <w:r>
        <w:rPr>
          <w:rFonts w:ascii="Aptos" w:hAnsi="Aptos"/>
          <w:sz w:val="21"/>
        </w:rPr>
        <w:t>Im Kern schlagen die Autor:innen COT-SPARQL vor. Das Verfahren ergänzt den Prompt um die Formulierung „Let’s think step by step“, reichert die Eingabefrage mit erkannten Entitäten und Relationen an und fügt ein zum Input semantisch ähnliches Beispielpaar aus Frage und SPARQL ein. Anschließend wird die generierte Query vor der Ausführung validiert.</w:t>
      </w:r>
    </w:p>
    <w:p>
      <w:pPr>
        <w:spacing w:before="200" w:after="60"/>
      </w:pPr>
      <w:r>
        <w:rPr>
          <w:rFonts w:ascii="Aptos Display" w:hAnsi="Aptos Display"/>
          <w:b/>
          <w:color w:val="1F4E79"/>
          <w:sz w:val="26"/>
        </w:rPr>
        <w:t>2. Warum das Paper für meine Arbeit relevant ist</w:t>
      </w:r>
    </w:p>
    <w:p>
      <w:pPr>
        <w:spacing w:line="276" w:lineRule="auto" w:after="120"/>
      </w:pPr>
      <w:r>
        <w:rPr>
          <w:rFonts w:ascii="Aptos" w:hAnsi="Aptos"/>
          <w:sz w:val="21"/>
        </w:rPr>
        <w:t>Für meine Bachelorarbeit ist dieses Paper besonders relevant, weil es genau die Lücke zwischen einfacher Prompting-Nutzung und robusterer SPARQL-Generierung anspricht. Es zeigt mir, dass nicht nur Fine-Tuning, sondern auch gut strukturierter Kontext im Prompt einen spürbaren Unterschied machen kann.</w:t>
      </w:r>
    </w:p>
    <w:p>
      <w:pPr>
        <w:spacing w:line="276" w:lineRule="auto" w:after="120"/>
      </w:pPr>
      <w:r>
        <w:rPr>
          <w:rFonts w:ascii="Aptos" w:hAnsi="Aptos"/>
          <w:sz w:val="21"/>
        </w:rPr>
        <w:t>Außerdem ist das Paper methodisch interessant, weil es zwei Dinge kombiniert, die auch für mein ORKG-Setting wichtig sind: Erstens wird die Frage nicht isoliert betrachtet, sondern mit zusätzlichem Schema-nahem Kontext angereichert. Zweitens wird das Beispiel im Prompt nicht zufällig gewählt, sondern anhand semantischer Ähnlichkeit bestimmt. Genau diese Idee kann ich später auch für template-spezifische ORKG-Prompts oder agentische Kontextsteuerung weiterdenken.</w:t>
      </w:r>
    </w:p>
    <w:p>
      <w:pPr>
        <w:spacing w:before="200" w:after="60"/>
      </w:pPr>
      <w:r>
        <w:rPr>
          <w:rFonts w:ascii="Aptos Display" w:hAnsi="Aptos Display"/>
          <w:b/>
          <w:color w:val="1F4E79"/>
          <w:sz w:val="26"/>
        </w:rPr>
        <w:t>3. Was das Paper konkret macht</w:t>
      </w:r>
    </w:p>
    <w:p>
      <w:pPr>
        <w:spacing w:line="276" w:lineRule="auto" w:after="120"/>
      </w:pPr>
      <w:r>
        <w:rPr>
          <w:rFonts w:ascii="Aptos" w:hAnsi="Aptos"/>
          <w:sz w:val="21"/>
        </w:rPr>
        <w:t>Das Paper formuliert drei Forschungsfragen. RQ1 untersucht, ob In-Context Learning die SPARQL-Generierung verbessert. RQ2 fragt nach der Korrektheit und Gültigkeit der erzeugten SPARQL-Queries. RQ3 betrachtet in einer Pilotstudie, wie gut sich die erzeugten Queries in einer echten Question-Answering-Pipeline auf QALD-10 schlagen.</w:t>
      </w:r>
    </w:p>
    <w:p>
      <w:pPr>
        <w:spacing w:line="276" w:lineRule="auto" w:after="120"/>
      </w:pPr>
      <w:r>
        <w:rPr>
          <w:rFonts w:ascii="Aptos" w:hAnsi="Aptos"/>
          <w:sz w:val="21"/>
        </w:rPr>
        <w:t>Methodisch besteht COT-SPARQL aus vier Schritten:</w:t>
      </w:r>
    </w:p>
    <w:p>
      <w:pPr>
        <w:spacing w:after="60"/>
        <w:ind w:left="283"/>
      </w:pPr>
      <w:r>
        <w:rPr>
          <w:sz w:val="21"/>
        </w:rPr>
        <w:t>• Prompt Building: Der Prompt erklärt die Aufgabe, nennt den Ziel-Graphen und startet die Generierung mit „Let’s think step by step“.</w:t>
      </w:r>
    </w:p>
    <w:p>
      <w:pPr>
        <w:spacing w:after="60"/>
        <w:ind w:left="283"/>
      </w:pPr>
      <w:r>
        <w:rPr>
          <w:sz w:val="21"/>
        </w:rPr>
        <w:t>• Context (A): Entitäten und Relationen aus der Frage werden ergänzt. Für Wikidata verwenden die Autor:innen spaCy fishing, für DBpedia Falcon; Relationen werden mit REBEL extrahiert.</w:t>
      </w:r>
    </w:p>
    <w:p>
      <w:pPr>
        <w:spacing w:after="60"/>
        <w:ind w:left="283"/>
      </w:pPr>
      <w:r>
        <w:rPr>
          <w:sz w:val="21"/>
        </w:rPr>
        <w:t>• Context (B): Aus dem Trainingsset wird ein semantisch ähnliches One-Shot-Beispiel gewählt. Dazu werden Fragen mit sentence-transformers eingebettet, mit K-means gruppiert und per Cosine Similarity das passendste Beispiel gewählt.</w:t>
      </w:r>
    </w:p>
    <w:p>
      <w:pPr>
        <w:spacing w:after="60"/>
        <w:ind w:left="283"/>
      </w:pPr>
      <w:r>
        <w:rPr>
          <w:sz w:val="21"/>
        </w:rPr>
        <w:t>• Query Validation: Die erzeugte SPARQL-Query wird mit SPARQLWrapper gegen den Endpoint geprüft, um syntaktisch fehlerhafte Queries vor der Ausführung abzufangen.</w:t>
      </w:r>
    </w:p>
    <w:p>
      <w:pPr>
        <w:spacing w:before="200" w:after="60"/>
      </w:pPr>
      <w:r>
        <w:rPr>
          <w:rFonts w:ascii="Aptos Display" w:hAnsi="Aptos Display"/>
          <w:b/>
          <w:color w:val="1F4E79"/>
          <w:sz w:val="26"/>
        </w:rPr>
        <w:t>4. Datensätze, Baselines und Metriken</w:t>
      </w:r>
    </w:p>
    <w:p>
      <w:pPr>
        <w:spacing w:line="276" w:lineRule="auto" w:after="120"/>
      </w:pPr>
      <w:r>
        <w:rPr>
          <w:rFonts w:ascii="Aptos" w:hAnsi="Aptos"/>
          <w:sz w:val="21"/>
        </w:rPr>
        <w:t>Die Evaluation umfasst LC-QuAD 2.0, VQuAnDa, QALD-9 und in der Pilotstudie QALD-10. Damit deckt das Paper sowohl Wikidata- als auch DBpedia-Settings ab. Verglichen wird gegen klassische Nicht-LLM-Baselines (NSpM, SQG, TeBaQA), frühere LLM-basierte Ansätze (z. B. SGPT, SPARQLGen) sowie Code-LLMs mit Standardprompt (LLaMA2-Code, Mistral-Code, CodeQwen1.5).</w:t>
      </w:r>
    </w:p>
    <w:p>
      <w:pPr>
        <w:spacing w:line="276" w:lineRule="auto" w:after="120"/>
      </w:pPr>
      <w:r>
        <w:rPr>
          <w:rFonts w:ascii="Aptos" w:hAnsi="Aptos"/>
          <w:sz w:val="21"/>
        </w:rPr>
        <w:t>Als Hauptmetriken verwenden die Autor:innen F1 und BLEU. Zusätzlich wird für die Pilotstudie F1-QALD verwendet. Besonders wichtig finde ich, dass das Paper nicht nur Textähnlichkeit betrachtet, sondern mit einer Validitätsauswertung auch prüft, wie viele Queries tatsächlich fehlerfrei ausführbar sind.</w:t>
      </w:r>
    </w:p>
    <w:p>
      <w:pPr>
        <w:spacing w:before="160" w:after="80"/>
      </w:pPr>
      <w:r>
        <w:rPr>
          <w:b/>
          <w:color w:val="1F4E79"/>
          <w:sz w:val="21"/>
        </w:rPr>
        <w:t>Tabelle 1. Datensätze aus dem Paper (rekonstruiert)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Datensatz</w:t>
            </w:r>
          </w:p>
        </w:tc>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KG</w:t>
            </w:r>
          </w:p>
        </w:tc>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Test</w:t>
            </w:r>
          </w:p>
        </w:tc>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Valid</w:t>
            </w:r>
          </w:p>
        </w:tc>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Train</w:t>
            </w:r>
          </w:p>
        </w:tc>
        <w:tc>
          <w:tcPr>
            <w:tcW w:type="dxa" w:w="1700"/>
            <w:vAlign w:val="center"/>
            <w:tcMar>
              <w:top w:w="70" w:type="dxa"/>
              <w:start w:w="90" w:type="dxa"/>
              <w:bottom w:w="70" w:type="dxa"/>
              <w:end w:w="90" w:type="dxa"/>
            </w:tcMar>
            <w:shd w:fill="D9EAF7"/>
          </w:tcPr>
          <w:p>
            <w:pPr>
              <w:spacing w:before="0" w:after="0" w:line="240" w:lineRule="auto"/>
              <w:jc w:val="center"/>
            </w:pPr>
            <w:r>
              <w:rPr>
                <w:rFonts w:ascii="Aptos" w:hAnsi="Aptos"/>
                <w:b/>
                <w:sz w:val="19"/>
              </w:rPr>
              <w:t>Sprache</w:t>
            </w:r>
          </w:p>
        </w:tc>
      </w:tr>
      <w:tr>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QALD-9</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DBpedia</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150</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58</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350</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Multilingual</w:t>
            </w:r>
          </w:p>
        </w:tc>
      </w:tr>
      <w:tr>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VQuAnDa</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DBpedia</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1000</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500</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3500</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English</w:t>
            </w:r>
          </w:p>
        </w:tc>
      </w:tr>
      <w:tr>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LC-QuAD 2.0</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Wikidata</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5969</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2389</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21497</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English</w:t>
            </w:r>
          </w:p>
        </w:tc>
      </w:tr>
      <w:tr>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QALD-10 2.0</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Wikidata</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394</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w:t>
            </w:r>
          </w:p>
        </w:tc>
        <w:tc>
          <w:tcPr>
            <w:tcW w:type="dxa" w:w="1700"/>
            <w:vAlign w:val="center"/>
            <w:tcMar>
              <w:top w:w="70" w:type="dxa"/>
              <w:start w:w="90" w:type="dxa"/>
              <w:bottom w:w="70" w:type="dxa"/>
              <w:end w:w="90" w:type="dxa"/>
            </w:tcMar>
          </w:tcPr>
          <w:p>
            <w:pPr>
              <w:spacing w:before="0" w:after="0" w:line="240" w:lineRule="auto"/>
              <w:jc w:val="center"/>
            </w:pPr>
            <w:r>
              <w:rPr>
                <w:rFonts w:ascii="Aptos" w:hAnsi="Aptos"/>
                <w:sz w:val="19"/>
              </w:rPr>
              <w:t>412</w:t>
            </w:r>
          </w:p>
        </w:tc>
        <w:tc>
          <w:tcPr>
            <w:tcW w:type="dxa" w:w="1700"/>
            <w:vAlign w:val="center"/>
            <w:tcMar>
              <w:top w:w="70" w:type="dxa"/>
              <w:start w:w="90" w:type="dxa"/>
              <w:bottom w:w="70" w:type="dxa"/>
              <w:end w:w="90" w:type="dxa"/>
            </w:tcMar>
          </w:tcPr>
          <w:p>
            <w:pPr>
              <w:spacing w:before="0" w:after="0" w:line="240" w:lineRule="auto"/>
              <w:jc w:val="left"/>
            </w:pPr>
            <w:r>
              <w:rPr>
                <w:rFonts w:ascii="Aptos" w:hAnsi="Aptos"/>
                <w:sz w:val="19"/>
              </w:rPr>
              <w:t>Multilingual</w:t>
            </w:r>
          </w:p>
        </w:tc>
      </w:tr>
    </w:tbl>
    <w:p>
      <w:pPr>
        <w:spacing w:line="276" w:lineRule="auto" w:after="120"/>
      </w:pPr>
      <w:r>
        <w:rPr>
          <w:rFonts w:ascii="Aptos" w:hAnsi="Aptos"/>
          <w:sz w:val="21"/>
        </w:rPr>
        <w:t>Aus meiner Sicht ist die Datensatzwahl sinnvoll, weil sie zwei verschiedene Graph-Ökosysteme abdeckt und sowohl größere Benchmarks als auch das stärker QA-orientierte QALD-Setting einbezieht. Dadurch wirkt die Evaluation breiter als bei Arbeiten, die nur auf einem einzelnen SPARQL-Datensatz getestet werden.</w:t>
      </w:r>
    </w:p>
    <w:p>
      <w:pPr>
        <w:sectPr>
          <w:footerReference w:type="default" r:id="rId9"/>
          <w:pgSz w:w="12240" w:h="15840"/>
          <w:pgMar w:top="907" w:right="1020" w:bottom="907" w:left="1020" w:header="720" w:footer="720" w:gutter="0"/>
          <w:cols w:space="720"/>
          <w:docGrid w:linePitch="360"/>
        </w:sectPr>
      </w:pPr>
    </w:p>
    <w:p>
      <w:pPr>
        <w:spacing w:before="200" w:after="60"/>
      </w:pPr>
      <w:r>
        <w:rPr>
          <w:rFonts w:ascii="Aptos Display" w:hAnsi="Aptos Display"/>
          <w:b/>
          <w:color w:val="1F4E79"/>
          <w:sz w:val="26"/>
        </w:rPr>
        <w:t>5. Zentrale Ergebnistabellen</w:t>
      </w:r>
    </w:p>
    <w:p>
      <w:pPr>
        <w:spacing w:before="160" w:after="80"/>
      </w:pPr>
      <w:r>
        <w:rPr>
          <w:b/>
          <w:color w:val="1F4E79"/>
          <w:sz w:val="21"/>
        </w:rPr>
        <w:t>Tabelle 2. Performance mit F1 und BLEU (RQ1, rekonstruiert)</w:t>
      </w:r>
    </w:p>
    <w:tbl>
      <w:tblPr>
        <w:tblStyle w:val="TableGrid"/>
        <w:tblW w:type="auto" w:w="0"/>
        <w:jc w:val="center"/>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Modelle</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LC-QuAD 2.0</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VQuAnDa</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QALD-9</w:t>
            </w:r>
          </w:p>
        </w:tc>
      </w:tr>
      <w:tr>
        <w:trPr>
          <w:tblHeader w:val="true"/>
        </w:trPr>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BLEU</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F1</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BLEU</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F1</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BLEU</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F1</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Nicht-LLM: NSpM</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34.74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66.47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37.75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59.96</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18.23</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45.34</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Nicht-LLM: SQG</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74.00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05.09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37.70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04.44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27.85</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Nicht-LLM: TeBaQA</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22.7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13.30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22.41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12.82</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28.81</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LLM: SPARQLGEN</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67.07</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LLM: SGPT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73.78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89.04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72.58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88.87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35.68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67.82</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LLM: LLaMA2-Code</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06.57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18.41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05.61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33.9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08.28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27.09</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LLM: Mistral-Code</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0.87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10.19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0.57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08.57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04.54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16.50</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LLM: CodeQwen1.5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04.90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15.01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03.20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14.9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13.01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27.10</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COT-SPARQL (ent)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50.67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68.94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63.87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84.38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30.68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67.3</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COT-SPARQL (ent+rel)</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58.08</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76.91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71.61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89.36</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val="0"/>
                <w:sz w:val="18"/>
              </w:rPr>
              <w:t>34.65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70.45</w:t>
            </w:r>
          </w:p>
        </w:tc>
      </w:tr>
    </w:tbl>
    <w:p>
      <w:pPr>
        <w:spacing w:line="276" w:lineRule="auto" w:after="120"/>
      </w:pPr>
      <w:r>
        <w:rPr>
          <w:rFonts w:ascii="Aptos" w:hAnsi="Aptos"/>
          <w:sz w:val="21"/>
        </w:rPr>
        <w:t>Wichtig finde ich hier vor allem drei Punkte. Erstens schlägt COT-SPARQL(ent+rel) die Baselines bei den F1-Werten auf VQuAnDa und QALD-9. Zweitens bleibt SGPT auf LC-QuAD 2.0 im F1 vorne. Drittens sind die reinen Code-LLMs mit Standardprompt sehr schwach, was dafür spricht, dass SPARQL ohne zusätzlichen Kontext nicht einfach als normales Code-Generierungsproblem behandelt werden kann.</w:t>
      </w:r>
    </w:p>
    <w:p>
      <w:pPr>
        <w:spacing w:line="276" w:lineRule="auto" w:after="120"/>
      </w:pPr>
      <w:r>
        <w:rPr>
          <w:rFonts w:ascii="Aptos" w:hAnsi="Aptos"/>
          <w:sz w:val="21"/>
        </w:rPr>
        <w:t>Auffällig ist außerdem eine kleine Inkonsistenz im Fließtext des Papers: Dort wird für LC-QuAD 2.0 an einer Stelle der F1-Wert 89.04 im Zusammenhang mit der eigenen Methode erwähnt. In der Tabelle gehört dieser Wert aber zu SGPT, nicht zu COT-SPARQL. Für meine eigene Arbeit würde ich diese Stelle daher vorsichtig interpretieren und mich bei der Einordnung primär an den Tabellenwerten orientieren.</w:t>
      </w:r>
    </w:p>
    <w:p>
      <w:pPr>
        <w:spacing w:before="160" w:after="80"/>
      </w:pPr>
      <w:r>
        <w:rPr>
          <w:b/>
          <w:color w:val="1F4E79"/>
          <w:sz w:val="21"/>
        </w:rPr>
        <w:t>Tabelle 3. Gültige vs. ungültige SPARQL-Queries (RQ2, rekonstruiert)</w:t>
      </w:r>
    </w:p>
    <w:tbl>
      <w:tblPr>
        <w:tblStyle w:val="TableGrid"/>
        <w:tblW w:type="auto" w:w="0"/>
        <w:jc w:val="center"/>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Modelle</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LC-QuAD 2.0</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VQuAnDa</w:t>
            </w:r>
          </w:p>
        </w:tc>
        <w:tc>
          <w:tcPr>
            <w:tcW w:type="dxa" w:w="4040"/>
            <w:gridSpan w:val="2"/>
            <w:vAlign w:val="center"/>
            <w:tcMar>
              <w:top w:w="70" w:type="dxa"/>
              <w:start w:w="90" w:type="dxa"/>
              <w:bottom w:w="70" w:type="dxa"/>
              <w:end w:w="90" w:type="dxa"/>
            </w:tcMar>
            <w:shd w:fill="D9EAF7"/>
            <w:shd w:fill="D9EAF7"/>
          </w:tcPr>
          <w:p>
            <w:pPr>
              <w:spacing w:before="0" w:after="0" w:line="240" w:lineRule="auto"/>
              <w:jc w:val="center"/>
            </w:pPr>
            <w:r>
              <w:rPr>
                <w:rFonts w:ascii="Aptos" w:hAnsi="Aptos"/>
                <w:b/>
                <w:sz w:val="18"/>
              </w:rPr>
              <w:t>QALD-9</w:t>
            </w:r>
          </w:p>
        </w:tc>
      </w:tr>
      <w:tr>
        <w:trPr>
          <w:tblHeader w:val="true"/>
        </w:trPr>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Valid</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Invalid</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Valid</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Invalid</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Valid</w:t>
            </w:r>
          </w:p>
        </w:tc>
        <w:tc>
          <w:tcPr>
            <w:tcW w:type="dxa" w:w="2020"/>
            <w:vAlign w:val="center"/>
            <w:tcMar>
              <w:top w:w="70" w:type="dxa"/>
              <w:start w:w="90" w:type="dxa"/>
              <w:bottom w:w="70" w:type="dxa"/>
              <w:end w:w="90" w:type="dxa"/>
            </w:tcMar>
            <w:shd w:fill="D9EAF7"/>
          </w:tcPr>
          <w:p>
            <w:pPr>
              <w:spacing w:before="0" w:after="0" w:line="240" w:lineRule="auto"/>
              <w:jc w:val="center"/>
            </w:pPr>
            <w:r>
              <w:rPr>
                <w:rFonts w:ascii="Aptos" w:hAnsi="Aptos"/>
                <w:b/>
                <w:sz w:val="18"/>
              </w:rPr>
              <w:t>Invalid</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LLaMA2-Code</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1216 (25.3%)</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3651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759 (75.9%)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241</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103 (68.7%)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47</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Mistral-Code</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121 (2.5%)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4746</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46 (4.6%)</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954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6 (4%)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144</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CodeQwen1.5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998 (20.5%)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3869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505 (50.5%)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495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80 (53.5%)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70</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COT-SPARQL (ent)</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3243 (75.0%)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1642</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951 (95.0%)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49</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139 (92.7%)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sz w:val="18"/>
              </w:rPr>
              <w:t>11</w:t>
            </w:r>
          </w:p>
        </w:tc>
      </w:tr>
      <w:tr>
        <w:tc>
          <w:tcPr>
            <w:tcW w:type="dxa" w:w="2020"/>
            <w:vAlign w:val="center"/>
            <w:tcMar>
              <w:top w:w="70" w:type="dxa"/>
              <w:start w:w="90" w:type="dxa"/>
              <w:bottom w:w="70" w:type="dxa"/>
              <w:end w:w="90" w:type="dxa"/>
            </w:tcMar>
          </w:tcPr>
          <w:p>
            <w:pPr>
              <w:spacing w:before="0" w:after="0" w:line="240" w:lineRule="auto"/>
              <w:jc w:val="left"/>
            </w:pPr>
            <w:r>
              <w:rPr>
                <w:rFonts w:ascii="Aptos" w:hAnsi="Aptos"/>
                <w:sz w:val="18"/>
              </w:rPr>
              <w:t>COT-SPARQL (ent+rel)</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4640 (96.0%)</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227</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975 (95.5%)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25</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143 (95.4%)</w:t>
            </w:r>
          </w:p>
        </w:tc>
        <w:tc>
          <w:tcPr>
            <w:tcW w:type="dxa" w:w="2020"/>
            <w:vAlign w:val="center"/>
            <w:tcMar>
              <w:top w:w="70" w:type="dxa"/>
              <w:start w:w="90" w:type="dxa"/>
              <w:bottom w:w="70" w:type="dxa"/>
              <w:end w:w="90" w:type="dxa"/>
            </w:tcMar>
          </w:tcPr>
          <w:p>
            <w:pPr>
              <w:spacing w:before="0" w:after="0" w:line="240" w:lineRule="auto"/>
              <w:jc w:val="center"/>
            </w:pPr>
            <w:r>
              <w:rPr>
                <w:rFonts w:ascii="Aptos" w:hAnsi="Aptos"/>
                <w:b/>
                <w:sz w:val="18"/>
              </w:rPr>
              <w:t>7</w:t>
            </w:r>
          </w:p>
        </w:tc>
      </w:tr>
    </w:tbl>
    <w:p>
      <w:pPr>
        <w:spacing w:line="276" w:lineRule="auto" w:after="120"/>
      </w:pPr>
      <w:r>
        <w:rPr>
          <w:rFonts w:ascii="Aptos" w:hAnsi="Aptos"/>
          <w:sz w:val="21"/>
        </w:rPr>
        <w:t>Diese Tabelle ist für mich fast noch wichtiger als Tabelle 2, weil sie zeigt, ob die Queries überhaupt brauchbar und ausführbar sind. Gerade hier ist der Vorteil der vorgeschlagenen Prompt-Struktur sehr deutlich: Mit Entitäten und Relationen im Prompt steigt der Anteil valider Queries massiv an.</w:t>
      </w:r>
    </w:p>
    <w:p>
      <w:pPr>
        <w:spacing w:line="276" w:lineRule="auto" w:after="120"/>
      </w:pPr>
      <w:r>
        <w:rPr>
          <w:rFonts w:ascii="Aptos" w:hAnsi="Aptos"/>
          <w:sz w:val="21"/>
        </w:rPr>
        <w:t>Eine zweite Auffälligkeit ist die Zählung bei LC-QuAD 2.0: In Tabelle 1 hat der Testsplit 5969 Fragen, in Tabelle 3 summieren sich Valid und Invalid aber für alle Modelle nur auf 4867. Das Paper erklärt diese Differenz im sichtbaren Diskussionstext nicht sauber. Für eine wissenschaftliche Einordnung würde ich diese Abweichung daher erwähnen, aber die qualitative Aussage der Tabelle trotzdem als stark ansehen.</w:t>
      </w:r>
    </w:p>
    <w:p>
      <w:pPr>
        <w:spacing w:before="160" w:after="80"/>
      </w:pPr>
      <w:r>
        <w:rPr>
          <w:b/>
          <w:color w:val="1F4E79"/>
          <w:sz w:val="21"/>
        </w:rPr>
        <w:t>Tabelle 4. Pilotstudie auf QALD-10 / GERBIL (RQ3, rekonstruiert)</w:t>
      </w:r>
    </w:p>
    <w:tbl>
      <w:tblPr>
        <w:tblStyle w:val="TableGrid"/>
        <w:tblW w:type="auto" w:w="0"/>
        <w:jc w:val="center"/>
        <w:tblLook w:firstColumn="1" w:firstRow="1" w:lastColumn="0" w:lastRow="0" w:noHBand="0" w:noVBand="1" w:val="04A0"/>
      </w:tblPr>
      <w:tblGrid>
        <w:gridCol w:w="2828"/>
        <w:gridCol w:w="2828"/>
        <w:gridCol w:w="2828"/>
        <w:gridCol w:w="2828"/>
        <w:gridCol w:w="2828"/>
      </w:tblGrid>
      <w:tr>
        <w:trPr>
          <w:tblHeader w:val="true"/>
        </w:trPr>
        <w:tc>
          <w:tcPr>
            <w:tcW w:type="dxa" w:w="2828"/>
            <w:vAlign w:val="center"/>
            <w:tcMar>
              <w:top w:w="70" w:type="dxa"/>
              <w:start w:w="90" w:type="dxa"/>
              <w:bottom w:w="70" w:type="dxa"/>
              <w:end w:w="90" w:type="dxa"/>
            </w:tcMar>
            <w:shd w:fill="D9EAF7"/>
          </w:tcPr>
          <w:p>
            <w:pPr>
              <w:spacing w:before="0" w:after="0" w:line="240" w:lineRule="auto"/>
              <w:jc w:val="center"/>
            </w:pPr>
            <w:r>
              <w:rPr>
                <w:rFonts w:ascii="Aptos" w:hAnsi="Aptos"/>
                <w:b/>
                <w:sz w:val="18"/>
              </w:rPr>
              <w:t>Ansatz</w:t>
            </w:r>
          </w:p>
        </w:tc>
        <w:tc>
          <w:tcPr>
            <w:tcW w:type="dxa" w:w="2828"/>
            <w:vAlign w:val="center"/>
            <w:tcMar>
              <w:top w:w="70" w:type="dxa"/>
              <w:start w:w="90" w:type="dxa"/>
              <w:bottom w:w="70" w:type="dxa"/>
              <w:end w:w="90" w:type="dxa"/>
            </w:tcMar>
            <w:shd w:fill="D9EAF7"/>
          </w:tcPr>
          <w:p>
            <w:pPr>
              <w:spacing w:before="0" w:after="0" w:line="240" w:lineRule="auto"/>
              <w:jc w:val="center"/>
            </w:pPr>
            <w:r>
              <w:rPr>
                <w:rFonts w:ascii="Aptos" w:hAnsi="Aptos"/>
                <w:b/>
                <w:sz w:val="18"/>
              </w:rPr>
              <w:t>Precision</w:t>
            </w:r>
          </w:p>
        </w:tc>
        <w:tc>
          <w:tcPr>
            <w:tcW w:type="dxa" w:w="2828"/>
            <w:vAlign w:val="center"/>
            <w:tcMar>
              <w:top w:w="70" w:type="dxa"/>
              <w:start w:w="90" w:type="dxa"/>
              <w:bottom w:w="70" w:type="dxa"/>
              <w:end w:w="90" w:type="dxa"/>
            </w:tcMar>
            <w:shd w:fill="D9EAF7"/>
          </w:tcPr>
          <w:p>
            <w:pPr>
              <w:spacing w:before="0" w:after="0" w:line="240" w:lineRule="auto"/>
              <w:jc w:val="center"/>
            </w:pPr>
            <w:r>
              <w:rPr>
                <w:rFonts w:ascii="Aptos" w:hAnsi="Aptos"/>
                <w:b/>
                <w:sz w:val="18"/>
              </w:rPr>
              <w:t>Recall</w:t>
            </w:r>
          </w:p>
        </w:tc>
        <w:tc>
          <w:tcPr>
            <w:tcW w:type="dxa" w:w="2828"/>
            <w:vAlign w:val="center"/>
            <w:tcMar>
              <w:top w:w="70" w:type="dxa"/>
              <w:start w:w="90" w:type="dxa"/>
              <w:bottom w:w="70" w:type="dxa"/>
              <w:end w:w="90" w:type="dxa"/>
            </w:tcMar>
            <w:shd w:fill="D9EAF7"/>
          </w:tcPr>
          <w:p>
            <w:pPr>
              <w:spacing w:before="0" w:after="0" w:line="240" w:lineRule="auto"/>
              <w:jc w:val="center"/>
            </w:pPr>
            <w:r>
              <w:rPr>
                <w:rFonts w:ascii="Aptos" w:hAnsi="Aptos"/>
                <w:b/>
                <w:sz w:val="18"/>
              </w:rPr>
              <w:t>F1</w:t>
            </w:r>
          </w:p>
        </w:tc>
        <w:tc>
          <w:tcPr>
            <w:tcW w:type="dxa" w:w="2828"/>
            <w:vAlign w:val="center"/>
            <w:tcMar>
              <w:top w:w="70" w:type="dxa"/>
              <w:start w:w="90" w:type="dxa"/>
              <w:bottom w:w="70" w:type="dxa"/>
              <w:end w:w="90" w:type="dxa"/>
            </w:tcMar>
            <w:shd w:fill="D9EAF7"/>
          </w:tcPr>
          <w:p>
            <w:pPr>
              <w:spacing w:before="0" w:after="0" w:line="240" w:lineRule="auto"/>
              <w:jc w:val="center"/>
            </w:pPr>
            <w:r>
              <w:rPr>
                <w:rFonts w:ascii="Aptos" w:hAnsi="Aptos"/>
                <w:b/>
                <w:sz w:val="18"/>
              </w:rPr>
              <w:t>F1-QALD</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Kovriguina et al. [24]</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0.29*</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Borroto and Ricca [6]</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0.4538</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0.4574</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0.4538</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0.5947</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Guo et al. [14]</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sz w:val="18"/>
              </w:rPr>
              <w:t>0.5068</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sz w:val="18"/>
              </w:rPr>
              <w:t>0.5238</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sz w:val="18"/>
              </w:rPr>
              <w:t>0.5070</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0.5776</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Steinmetz et al. [36]</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0.3206</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0.3312</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0.3215</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0.4909</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Baramiia et al. [4]</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0.4289</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0.4272</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0.4277</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0.4281</w:t>
            </w:r>
          </w:p>
        </w:tc>
      </w:tr>
      <w:tr>
        <w:tc>
          <w:tcPr>
            <w:tcW w:type="dxa" w:w="2828"/>
            <w:vAlign w:val="center"/>
            <w:tcMar>
              <w:top w:w="70" w:type="dxa"/>
              <w:start w:w="90" w:type="dxa"/>
              <w:bottom w:w="70" w:type="dxa"/>
              <w:end w:w="90" w:type="dxa"/>
            </w:tcMar>
          </w:tcPr>
          <w:p>
            <w:pPr>
              <w:spacing w:before="0" w:after="0" w:line="240" w:lineRule="auto"/>
              <w:jc w:val="left"/>
            </w:pPr>
            <w:r>
              <w:rPr>
                <w:rFonts w:ascii="Aptos" w:hAnsi="Aptos"/>
                <w:sz w:val="18"/>
              </w:rPr>
              <w:t>COT-SPARQL (ent+rel)</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0.4944</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0.5072</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val="0"/>
                <w:sz w:val="18"/>
              </w:rPr>
              <w:t>0.4978</w:t>
            </w:r>
          </w:p>
        </w:tc>
        <w:tc>
          <w:tcPr>
            <w:tcW w:type="dxa" w:w="2828"/>
            <w:vAlign w:val="center"/>
            <w:tcMar>
              <w:top w:w="70" w:type="dxa"/>
              <w:start w:w="90" w:type="dxa"/>
              <w:bottom w:w="70" w:type="dxa"/>
              <w:end w:w="90" w:type="dxa"/>
            </w:tcMar>
          </w:tcPr>
          <w:p>
            <w:pPr>
              <w:spacing w:before="0" w:after="0" w:line="240" w:lineRule="auto"/>
              <w:jc w:val="center"/>
            </w:pPr>
            <w:r>
              <w:rPr>
                <w:rFonts w:ascii="Aptos" w:hAnsi="Aptos"/>
                <w:b/>
                <w:sz w:val="18"/>
              </w:rPr>
              <w:t>0.6387</w:t>
            </w:r>
          </w:p>
        </w:tc>
      </w:tr>
    </w:tbl>
    <w:p>
      <w:pPr>
        <w:spacing w:line="276" w:lineRule="auto" w:after="120"/>
      </w:pPr>
      <w:r>
        <w:rPr>
          <w:rFonts w:ascii="Aptos" w:hAnsi="Aptos"/>
          <w:sz w:val="21"/>
        </w:rPr>
        <w:t>In der End-to-End-Betrachtung ist für mich besonders relevant, dass COT-SPARQL beim F1-QALD mit 0.6387 vor den verglichenen Systemen liegt. Das heißt: Die Methode ist nicht nur bei der reinen Query-Generierung stark, sondern liefert im Pilot-Setup auch robuste Ergebnisse beim tatsächlichen Question Answering.</w:t>
      </w:r>
    </w:p>
    <w:p>
      <w:pPr>
        <w:spacing w:line="276" w:lineRule="auto" w:after="120"/>
      </w:pPr>
      <w:r>
        <w:rPr>
          <w:rFonts w:ascii="Aptos" w:hAnsi="Aptos"/>
          <w:sz w:val="21"/>
        </w:rPr>
        <w:t>Aus der in Figur 4 gezeigten GERBIL-Auswertung lässt sich außerdem ablesen, dass die Methode bei den Subexperimenten C2KB, P2KB und RE2KB ebenfalls sinnvolle Werte erreicht. Besonders stark wirkt C2KB mit Macro-F1 0.7186, während RE2KB mit Macro-F1 0.4656 erwartbar schwieriger bleibt.</w:t>
      </w:r>
    </w:p>
    <w:p>
      <w:pPr>
        <w:sectPr>
          <w:pgSz w:w="15840" w:h="12240" w:orient="landscape"/>
          <w:pgMar w:top="794" w:right="850" w:bottom="794" w:left="850" w:header="720" w:footer="720" w:gutter="0"/>
          <w:cols w:space="720"/>
          <w:docGrid w:linePitch="360"/>
        </w:sectPr>
      </w:pPr>
    </w:p>
    <w:p>
      <w:pPr>
        <w:spacing w:before="200" w:after="60"/>
      </w:pPr>
      <w:r>
        <w:rPr>
          <w:rFonts w:ascii="Aptos Display" w:hAnsi="Aptos Display"/>
          <w:b/>
          <w:color w:val="1F4E79"/>
          <w:sz w:val="26"/>
        </w:rPr>
        <w:t>6. Wichtigste Ergebnisse auf einen Blick</w:t>
      </w:r>
    </w:p>
    <w:p>
      <w:pPr>
        <w:spacing w:after="60"/>
        <w:ind w:left="227"/>
      </w:pPr>
      <w:r>
        <w:rPr>
          <w:sz w:val="21"/>
        </w:rPr>
        <w:t>• Die Variante COT-SPARQL(ent+rel) ist durchgehend besser als COT-SPARQL(ent). Das zeigt, dass Relationen als zusätzlicher Kontext im Prompt einen echten Mehrwert liefern.</w:t>
      </w:r>
    </w:p>
    <w:p>
      <w:pPr>
        <w:spacing w:after="60"/>
        <w:ind w:left="227"/>
      </w:pPr>
      <w:r>
        <w:rPr>
          <w:sz w:val="21"/>
        </w:rPr>
        <w:t>• Die größten Gewinne sieht man nicht nur bei F1, sondern auch bei der Validität der generierten Queries. Genau dieser Punkt ist für reale SPARQL-Nutzung entscheidend.</w:t>
      </w:r>
    </w:p>
    <w:p>
      <w:pPr>
        <w:spacing w:after="60"/>
        <w:ind w:left="227"/>
      </w:pPr>
      <w:r>
        <w:rPr>
          <w:sz w:val="21"/>
        </w:rPr>
        <w:t>• Die Standardprompts der Code-LLMs reichen nicht aus. Ohne In-Context Learning, One-Shot-Beispiel und strukturierte Reasoning-Anleitung fallen die Resultate stark ab.</w:t>
      </w:r>
    </w:p>
    <w:p>
      <w:pPr>
        <w:spacing w:after="60"/>
        <w:ind w:left="227"/>
      </w:pPr>
      <w:r>
        <w:rPr>
          <w:sz w:val="21"/>
        </w:rPr>
        <w:t>• Die Pilotstudie auf QALD-10 zeigt, dass der Ansatz nicht nur auf Token-Ähnlichkeit optimiert ist, sondern auch in einer End-to-End-QA-Ausführung relevant bleibt.</w:t>
      </w:r>
    </w:p>
    <w:p>
      <w:pPr>
        <w:spacing w:before="200" w:after="60"/>
      </w:pPr>
      <w:r>
        <w:rPr>
          <w:rFonts w:ascii="Aptos Display" w:hAnsi="Aptos Display"/>
          <w:b/>
          <w:color w:val="1F4E79"/>
          <w:sz w:val="26"/>
        </w:rPr>
        <w:t>7. Stärken und Schwächen</w:t>
      </w:r>
    </w:p>
    <w:p>
      <w:pPr>
        <w:spacing w:line="276" w:lineRule="auto" w:after="120"/>
      </w:pPr>
      <w:r>
        <w:rPr>
          <w:rFonts w:ascii="Aptos" w:hAnsi="Aptos"/>
          <w:sz w:val="21"/>
        </w:rPr>
        <w:t>Stärken sehe ich vor allem in der klaren und nachvollziehbaren Methode. Das Paper erklärt transparent, wie der Prompt aufgebaut wird, welche Zusatzinformationen einfließen und warum das hilfreich ist. Besonders überzeugend finde ich, dass nicht nur klassische Offline-Metriken, sondern auch die Korrektheit und Validität der erzeugten Queries ausgewertet werden.</w:t>
      </w:r>
    </w:p>
    <w:p>
      <w:pPr>
        <w:spacing w:line="276" w:lineRule="auto" w:after="120"/>
      </w:pPr>
      <w:r>
        <w:rPr>
          <w:rFonts w:ascii="Aptos" w:hAnsi="Aptos"/>
          <w:sz w:val="21"/>
        </w:rPr>
        <w:t>Eine Schwäche ist aus meiner Sicht, dass die Arbeit stark von vorgelagerten Komponenten für Entity Linking und Relation Extraction abhängt. Wenn diese Komponenten fehlerhaft arbeiten, leidet die spätere Query-Generierung. Außerdem ist die Vergleichbarkeit mit manchen Baselines etwas eingeschränkt, weil ein Teil der Resultate aus den Originalpublikationen übernommen wird und nicht alles in derselben experimentellen Pipeline reproduziert wurde.</w:t>
      </w:r>
    </w:p>
    <w:p>
      <w:pPr>
        <w:spacing w:line="276" w:lineRule="auto" w:after="120"/>
      </w:pPr>
      <w:r>
        <w:rPr>
          <w:rFonts w:ascii="Aptos" w:hAnsi="Aptos"/>
          <w:sz w:val="21"/>
        </w:rPr>
        <w:t>Zusätzlich fallen zwei kleinere Unschärfen auf: erstens die erwähnte Text-Tabelle-Inkonsistenz bei LC-QuAD 2.0, zweitens die nicht klar erläuterte Differenz zwischen Testsplitgröße und der Summe aus Valid/Invalid in Tabelle 3 für LC-QuAD 2.0. Diese Punkte schwächen die Präsentation etwas, ändern aber nicht die zentrale methodische Aussage des Papers.</w:t>
      </w:r>
    </w:p>
    <w:p>
      <w:pPr>
        <w:spacing w:before="200" w:after="60"/>
      </w:pPr>
      <w:r>
        <w:rPr>
          <w:rFonts w:ascii="Aptos Display" w:hAnsi="Aptos Display"/>
          <w:b/>
          <w:color w:val="1F4E79"/>
          <w:sz w:val="26"/>
        </w:rPr>
        <w:t>8. Einordnung für meine Bachelorarbeit</w:t>
      </w:r>
    </w:p>
    <w:p>
      <w:pPr>
        <w:spacing w:line="276" w:lineRule="auto" w:after="120"/>
      </w:pPr>
      <w:r>
        <w:rPr>
          <w:rFonts w:ascii="Aptos" w:hAnsi="Aptos"/>
          <w:sz w:val="21"/>
        </w:rPr>
        <w:t>Für meine Arbeit nehme ich aus diesem Paper vor allem mit, dass ein gutes Prompt-Design für SPARQL-Generierung sehr viel bewirken kann. Gerade die Kombination aus schrittweiser Reasoning-Anweisung, schema-nahem Zusatzkontext und semantisch passendem Beispiel ist für mich direkt anschlussfähig.</w:t>
      </w:r>
    </w:p>
    <w:p>
      <w:pPr>
        <w:spacing w:line="276" w:lineRule="auto" w:after="120"/>
      </w:pPr>
      <w:r>
        <w:rPr>
          <w:rFonts w:ascii="Aptos" w:hAnsi="Aptos"/>
          <w:sz w:val="21"/>
        </w:rPr>
        <w:t>Ich würde dieses Paper deshalb nicht als Fine-Tuning-Paper einordnen, sondern als sehr starke Referenz für prompt- und kontextbasierte Verbesserung von Text-to-SPARQL. Für mein eigenes ORKG-Setting ist besonders interessant, dass die Autor:innen zeigen, wie stark zusätzliche Entitäts- und Relationsinformationen die Validität der Queries verbessern können. Genau diese Beobachtung kann ich später für template-spezifische Prompt-Artefakte und für agentische Kontextmethoden aufgreifen.</w:t>
      </w:r>
    </w:p>
    <w:p>
      <w:pPr>
        <w:spacing w:line="276" w:lineRule="auto" w:after="120"/>
      </w:pPr>
      <w:r>
        <w:rPr>
          <w:rFonts w:ascii="Aptos" w:hAnsi="Aptos"/>
          <w:sz w:val="21"/>
        </w:rPr>
        <w:t>Wenn ich das Paper in einem Satz für meine Bachelorarbeit zusammenfasse, dann so: Für mich zeigt COT-SPARQL, dass ein sorgfältig strukturierter Prompt mit explizitem Kontext und semantisch ausgewähltem Beispiel eine ernstzunehmende Alternative oder Ergänzung zu reinem Fine-Tuning bei der SPARQL-Generierung darstellt.</w:t>
      </w:r>
    </w:p>
    <w:p>
      <w:pPr>
        <w:spacing w:before="200" w:after="60"/>
      </w:pPr>
      <w:r>
        <w:rPr>
          <w:rFonts w:ascii="Aptos Display" w:hAnsi="Aptos Display"/>
          <w:b/>
          <w:color w:val="1F4E79"/>
          <w:sz w:val="26"/>
        </w:rPr>
        <w:t>9. Kurzes Fazit</w:t>
      </w:r>
    </w:p>
    <w:p>
      <w:pPr>
        <w:spacing w:line="276" w:lineRule="auto" w:after="120"/>
      </w:pPr>
      <w:r>
        <w:rPr>
          <w:rFonts w:ascii="Aptos" w:hAnsi="Aptos"/>
          <w:sz w:val="21"/>
        </w:rPr>
        <w:t>Insgesamt halte ich das Paper für eine wichtige und gut zitierbare Related-Work-Quelle, weil es eine klare, praktische und empirisch gut untermauerte Prompting-Strategie für SPARQL-Generierung zeigt. Besonders wertvoll ist für mich der Nachweis, dass die Methode nicht nur auf Metrikebene, sondern auch bei der Gültigkeit der Queries und in einer QA-Pilotstudie überzeugt.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