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0"/>
        </w:rPr>
        <w:t>Paper-Analyse-Dossier</w:t>
      </w:r>
    </w:p>
    <w:p>
      <w:pPr>
        <w:jc w:val="center"/>
      </w:pPr>
      <w:r>
        <w:rPr>
          <w:rFonts w:ascii="Aptos" w:hAnsi="Aptos"/>
          <w:i/>
          <w:sz w:val="24"/>
        </w:rPr>
        <w:t>Zhu et al. (NAACL 2025 Industry Track) — Text2Sql: Pure Fine-Tuning and Pure Knowledge Distillation</w:t>
      </w:r>
    </w:p>
    <w:p>
      <w:pPr>
        <w:jc w:val="center"/>
      </w:pPr>
      <w:r>
        <w:rPr>
          <w:rFonts w:ascii="Aptos" w:hAnsi="Aptos"/>
          <w:color w:val="595959"/>
          <w:sz w:val="21"/>
        </w:rPr>
        <w:t>Deutsche Arbeitsfassung zur späteren Nutzung in Related Work, Methodik, Modellwahl und Diskussion.</w:t>
      </w:r>
    </w:p>
    <w:tbl>
      <w:tblPr>
        <w:tblStyle w:val="TableGrid"/>
        <w:tblW w:type="auto" w:w="0"/>
        <w:jc w:val="center"/>
        <w:tblLook w:firstColumn="1" w:firstRow="1" w:lastColumn="0" w:lastRow="0" w:noHBand="0" w:noVBand="1" w:val="04A0"/>
      </w:tblPr>
      <w:tblGrid>
        <w:gridCol w:w="2381"/>
        <w:gridCol w:w="6690"/>
      </w:tblGrid>
      <w:tr>
        <w:trPr>
          <w:tblHeader w:val="true"/>
          <w:tblHeader w:val="true"/>
        </w:trPr>
        <w:tc>
          <w:tcPr>
            <w:tcW w:type="dxa" w:w="4873"/>
            <w:vAlign w:val="center"/>
            <w:tcMar>
              <w:top w:w="80" w:type="dxa"/>
              <w:start w:w="90" w:type="dxa"/>
              <w:bottom w:w="80" w:type="dxa"/>
              <w:end w:w="90" w:type="dxa"/>
            </w:tcMar>
            <w:shd w:fill="DCE6F1"/>
            <w:shd w:fill="DCE6F1"/>
          </w:tcPr>
          <w:p>
            <w:pPr>
              <w:spacing w:before="0" w:after="0" w:line="259" w:lineRule="auto"/>
              <w:jc w:val="center"/>
            </w:pPr>
            <w:r>
              <w:rPr>
                <w:rFonts w:ascii="Aptos" w:hAnsi="Aptos"/>
                <w:b/>
                <w:sz w:val="20"/>
              </w:rPr>
              <w:t>Feld</w:t>
            </w:r>
          </w:p>
        </w:tc>
        <w:tc>
          <w:tcPr>
            <w:tcW w:type="dxa" w:w="4873"/>
            <w:vAlign w:val="center"/>
            <w:tcMar>
              <w:top w:w="80" w:type="dxa"/>
              <w:start w:w="90" w:type="dxa"/>
              <w:bottom w:w="80" w:type="dxa"/>
              <w:end w:w="90" w:type="dxa"/>
            </w:tcMar>
            <w:shd w:fill="DCE6F1"/>
            <w:shd w:fill="DCE6F1"/>
          </w:tcPr>
          <w:p>
            <w:pPr>
              <w:spacing w:before="0" w:after="0" w:line="259" w:lineRule="auto"/>
              <w:jc w:val="center"/>
            </w:pPr>
            <w:r>
              <w:rPr>
                <w:rFonts w:ascii="Aptos" w:hAnsi="Aptos"/>
                <w:b/>
                <w:sz w:val="20"/>
              </w:rPr>
              <w:t>Information</w:t>
            </w:r>
          </w:p>
        </w:tc>
      </w:tr>
      <w:tr>
        <w:tc>
          <w:tcPr>
            <w:tcW w:type="dxa" w:w="2381"/>
            <w:vAlign w:val="center"/>
            <w:tcMar>
              <w:top w:w="80" w:type="dxa"/>
              <w:start w:w="90" w:type="dxa"/>
              <w:bottom w:w="80" w:type="dxa"/>
              <w:end w:w="90" w:type="dxa"/>
            </w:tcMar>
            <w:shd w:fill="F4F8FB"/>
            <w:shd w:fill="F4F8FB"/>
          </w:tcPr>
          <w:p>
            <w:pPr>
              <w:spacing w:before="0" w:after="0" w:line="259" w:lineRule="auto"/>
              <w:jc w:val="left"/>
            </w:pPr>
            <w:r>
              <w:rPr>
                <w:rFonts w:ascii="Aptos" w:hAnsi="Aptos"/>
                <w:sz w:val="20"/>
              </w:rPr>
              <w:t>Paper</w:t>
            </w:r>
          </w:p>
        </w:tc>
        <w:tc>
          <w:tcPr>
            <w:tcW w:type="dxa" w:w="6690"/>
            <w:vAlign w:val="center"/>
            <w:tcMar>
              <w:top w:w="80" w:type="dxa"/>
              <w:start w:w="90" w:type="dxa"/>
              <w:bottom w:w="80" w:type="dxa"/>
              <w:end w:w="90" w:type="dxa"/>
            </w:tcMar>
          </w:tcPr>
          <w:p>
            <w:pPr>
              <w:spacing w:before="0" w:after="0" w:line="259" w:lineRule="auto"/>
              <w:jc w:val="left"/>
            </w:pPr>
            <w:r>
              <w:rPr>
                <w:rFonts w:ascii="Aptos" w:hAnsi="Aptos"/>
                <w:sz w:val="20"/>
              </w:rPr>
              <w:t>Text2Sql: Pure Fine-Tuning and Pure Knowledge Distillation</w:t>
            </w:r>
          </w:p>
        </w:tc>
      </w:tr>
      <w:tr>
        <w:tc>
          <w:tcPr>
            <w:tcW w:type="dxa" w:w="2381"/>
            <w:vAlign w:val="center"/>
            <w:tcMar>
              <w:top w:w="80" w:type="dxa"/>
              <w:start w:w="90" w:type="dxa"/>
              <w:bottom w:w="80" w:type="dxa"/>
              <w:end w:w="90" w:type="dxa"/>
            </w:tcMar>
            <w:shd w:fill="F4F8FB"/>
            <w:shd w:fill="F4F8FB"/>
          </w:tcPr>
          <w:p>
            <w:pPr>
              <w:spacing w:before="0" w:after="0" w:line="259" w:lineRule="auto"/>
              <w:jc w:val="left"/>
            </w:pPr>
            <w:r>
              <w:rPr>
                <w:rFonts w:ascii="Aptos" w:hAnsi="Aptos"/>
                <w:sz w:val="20"/>
              </w:rPr>
              <w:t>Autor:innen</w:t>
            </w:r>
          </w:p>
        </w:tc>
        <w:tc>
          <w:tcPr>
            <w:tcW w:type="dxa" w:w="6690"/>
            <w:vAlign w:val="center"/>
            <w:tcMar>
              <w:top w:w="80" w:type="dxa"/>
              <w:start w:w="90" w:type="dxa"/>
              <w:bottom w:w="80" w:type="dxa"/>
              <w:end w:w="90" w:type="dxa"/>
            </w:tcMar>
          </w:tcPr>
          <w:p>
            <w:pPr>
              <w:spacing w:before="0" w:after="0" w:line="259" w:lineRule="auto"/>
              <w:jc w:val="left"/>
            </w:pPr>
            <w:r>
              <w:rPr>
                <w:rFonts w:ascii="Aptos" w:hAnsi="Aptos"/>
                <w:sz w:val="20"/>
              </w:rPr>
              <w:t>Gaoyu Zhu, Wei Shao, Xichou Zhu, Lei Yu, Jiafeng Guo, Xueqi Cheng</w:t>
            </w:r>
          </w:p>
        </w:tc>
      </w:tr>
      <w:tr>
        <w:tc>
          <w:tcPr>
            <w:tcW w:type="dxa" w:w="2381"/>
            <w:vAlign w:val="center"/>
            <w:tcMar>
              <w:top w:w="80" w:type="dxa"/>
              <w:start w:w="90" w:type="dxa"/>
              <w:bottom w:w="80" w:type="dxa"/>
              <w:end w:w="90" w:type="dxa"/>
            </w:tcMar>
            <w:shd w:fill="F4F8FB"/>
            <w:shd w:fill="F4F8FB"/>
          </w:tcPr>
          <w:p>
            <w:pPr>
              <w:spacing w:before="0" w:after="0" w:line="259" w:lineRule="auto"/>
              <w:jc w:val="left"/>
            </w:pPr>
            <w:r>
              <w:rPr>
                <w:rFonts w:ascii="Aptos" w:hAnsi="Aptos"/>
                <w:sz w:val="20"/>
              </w:rPr>
              <w:t>Venue</w:t>
            </w:r>
          </w:p>
        </w:tc>
        <w:tc>
          <w:tcPr>
            <w:tcW w:type="dxa" w:w="6690"/>
            <w:vAlign w:val="center"/>
            <w:tcMar>
              <w:top w:w="80" w:type="dxa"/>
              <w:start w:w="90" w:type="dxa"/>
              <w:bottom w:w="80" w:type="dxa"/>
              <w:end w:w="90" w:type="dxa"/>
            </w:tcMar>
          </w:tcPr>
          <w:p>
            <w:pPr>
              <w:spacing w:before="0" w:after="0" w:line="259" w:lineRule="auto"/>
              <w:jc w:val="left"/>
            </w:pPr>
            <w:r>
              <w:rPr>
                <w:rFonts w:ascii="Aptos" w:hAnsi="Aptos"/>
                <w:sz w:val="20"/>
              </w:rPr>
              <w:t>NAACL 2025: Human Language Technologies (Industry Track)</w:t>
            </w:r>
          </w:p>
        </w:tc>
      </w:tr>
      <w:tr>
        <w:tc>
          <w:tcPr>
            <w:tcW w:type="dxa" w:w="2381"/>
            <w:vAlign w:val="center"/>
            <w:tcMar>
              <w:top w:w="80" w:type="dxa"/>
              <w:start w:w="90" w:type="dxa"/>
              <w:bottom w:w="80" w:type="dxa"/>
              <w:end w:w="90" w:type="dxa"/>
            </w:tcMar>
            <w:shd w:fill="F4F8FB"/>
            <w:shd w:fill="F4F8FB"/>
          </w:tcPr>
          <w:p>
            <w:pPr>
              <w:spacing w:before="0" w:after="0" w:line="259" w:lineRule="auto"/>
              <w:jc w:val="left"/>
            </w:pPr>
            <w:r>
              <w:rPr>
                <w:rFonts w:ascii="Aptos" w:hAnsi="Aptos"/>
                <w:sz w:val="20"/>
              </w:rPr>
              <w:t>Kerngebiet</w:t>
            </w:r>
          </w:p>
        </w:tc>
        <w:tc>
          <w:tcPr>
            <w:tcW w:type="dxa" w:w="6690"/>
            <w:vAlign w:val="center"/>
            <w:tcMar>
              <w:top w:w="80" w:type="dxa"/>
              <w:start w:w="90" w:type="dxa"/>
              <w:bottom w:w="80" w:type="dxa"/>
              <w:end w:w="90" w:type="dxa"/>
            </w:tcMar>
          </w:tcPr>
          <w:p>
            <w:pPr>
              <w:spacing w:before="0" w:after="0" w:line="259" w:lineRule="auto"/>
              <w:jc w:val="left"/>
            </w:pPr>
            <w:r>
              <w:rPr>
                <w:rFonts w:ascii="Aptos" w:hAnsi="Aptos"/>
                <w:sz w:val="20"/>
              </w:rPr>
              <w:t>Text-to-SQL, Prompt-Reinheit, Reduktion der Schema-Kontextlänge und Teacher–Student-Distillation</w:t>
            </w:r>
          </w:p>
        </w:tc>
      </w:tr>
      <w:tr>
        <w:tc>
          <w:tcPr>
            <w:tcW w:type="dxa" w:w="2381"/>
            <w:vAlign w:val="center"/>
            <w:tcMar>
              <w:top w:w="80" w:type="dxa"/>
              <w:start w:w="90" w:type="dxa"/>
              <w:bottom w:w="80" w:type="dxa"/>
              <w:end w:w="90" w:type="dxa"/>
            </w:tcMar>
            <w:shd w:fill="F4F8FB"/>
            <w:shd w:fill="F4F8FB"/>
          </w:tcPr>
          <w:p>
            <w:pPr>
              <w:spacing w:before="0" w:after="0" w:line="259" w:lineRule="auto"/>
              <w:jc w:val="left"/>
            </w:pPr>
            <w:r>
              <w:rPr>
                <w:rFonts w:ascii="Aptos" w:hAnsi="Aptos"/>
                <w:sz w:val="20"/>
              </w:rPr>
              <w:t>Praktische Hauptaussage</w:t>
            </w:r>
          </w:p>
        </w:tc>
        <w:tc>
          <w:tcPr>
            <w:tcW w:type="dxa" w:w="6690"/>
            <w:vAlign w:val="center"/>
            <w:tcMar>
              <w:top w:w="80" w:type="dxa"/>
              <w:start w:w="90" w:type="dxa"/>
              <w:bottom w:w="80" w:type="dxa"/>
              <w:end w:w="90" w:type="dxa"/>
            </w:tcMar>
          </w:tcPr>
          <w:p>
            <w:pPr>
              <w:spacing w:before="0" w:after="0" w:line="259" w:lineRule="auto"/>
              <w:jc w:val="left"/>
            </w:pPr>
            <w:r>
              <w:rPr>
                <w:rFonts w:ascii="Aptos" w:hAnsi="Aptos"/>
                <w:sz w:val="20"/>
              </w:rPr>
              <w:t>Ein kürzerer und sauberer formulierter Schema-Prompt kann Fine-Tuning verbessern; zusätzlich kann ein Teacher mit reineren Prompts einen Teil dieses Vorteils an ein kleineres Student-Modell übertragen.</w:t>
            </w:r>
          </w:p>
        </w:tc>
      </w:tr>
    </w:tbl>
    <w:p/>
    <w:p>
      <w:pPr>
        <w:pStyle w:val="Heading1"/>
      </w:pPr>
      <w:r>
        <w:t>1. Kernaussage und Kurzüberblick</w:t>
      </w:r>
    </w:p>
    <w:p>
      <w:pPr>
        <w:spacing w:after="120"/>
      </w:pPr>
      <w:r>
        <w:t>Für mich untersucht dieses Paper eine sehr praktische Frage im Text-to-SQL-Fine-Tuning: Muss ein Modell im Prompt wirklich immer das vollständige Datenbankschema sehen, oder ist es besser, nur den kleineren und tatsächlich relevanten Teil des Schemas zu zeigen?</w:t>
      </w:r>
    </w:p>
    <w:p>
      <w:pPr>
        <w:spacing w:after="120"/>
      </w:pPr>
      <w:r>
        <w:t>Die Autor:innen argumentieren, dass Standard-Prompts beim Fine-Tuning oft zu viel redundante Schema-Information enthalten. Ihr Hauptvorschlag ist deshalb „Pure Fine-Tuning“: Die Eingabe soll möglichst nur die Tabellen und Spalten enthalten, die für die Ziel-SQL-Abfrage wirklich relevant sind. Dafür definieren sie mehrere Reinheitsstufen des Prompts – von vollständig rein bis vollständig unrein.</w:t>
      </w:r>
    </w:p>
    <w:p>
      <w:pPr>
        <w:spacing w:after="120"/>
      </w:pPr>
      <w:r>
        <w:t>Das wichtigste Ergebnis ist, dass weder der vollkommen reine Prompt noch die vollständige Schema-Baseline am besten ist. Stattdessen erzielt beim 3B-Modell ein gemischter Prompt die stärksten Ergebnisse: Er behält den Fokus auf den relevanten Teilen des Schemas, enthält aber zusätzlich eine kleine Menge irrelevanter Tabellen. Dadurch bleibt der Kontext deutlich kürzer als bei der Baseline, ohne dass die Robustheit gegenüber Störinformation verloren geht.</w:t>
      </w:r>
    </w:p>
    <w:p>
      <w:pPr>
        <w:spacing w:after="120"/>
      </w:pPr>
      <w:r>
        <w:t>Darauf aufbauend führt das Paper „Pure Knowledge Distillation“ ein. Dabei arbeitet der Teacher mit einem reineren Prompt, während der Student mit einem größeren und absichtlich verrauschteren Prompt trainiert wird. Für das 1B-Student-Modell führt das zu einem weiteren Leistungsgewinn. Für meine Arbeit ist das Paper deshalb besonders relevant, wenn ich über kompakte Prompt-Gestaltung, effiziente überwachte Anpassung oder Teacher–Student-Transfer bei strukturierter Query-Generierung nachdenke.</w:t>
      </w:r>
    </w:p>
    <w:p>
      <w:pPr>
        <w:pStyle w:val="Heading1"/>
      </w:pPr>
      <w:r>
        <w:t>2. Warum das Paper für meine Arbeit wichtig ist</w:t>
      </w:r>
    </w:p>
    <w:p>
      <w:pPr>
        <w:spacing w:after="120"/>
      </w:pPr>
      <w:r>
        <w:t>Für mich adressiert das Paper direkt eine Kernfrage des Fine-Tunings: Mehr Kontext ist nicht automatisch besser.</w:t>
      </w:r>
    </w:p>
    <w:p>
      <w:pPr>
        <w:spacing w:after="120"/>
      </w:pPr>
      <w:r>
        <w:t>Die vorgeschlagene Idee ist einfach und gut übertragbar: Statt nur größere Modelle oder längere Prompts zu verwenden, reduzieren die Autor:innen gezielt Redundanz im Input.</w:t>
      </w:r>
    </w:p>
    <w:p>
      <w:pPr>
        <w:spacing w:after="120"/>
      </w:pPr>
      <w:r>
        <w:t>Das ist besonders wichtig, wenn Prompt-Länge teuer ist oder wenn ein Modell lernen soll, sich auf die richtigen Schema-Elemente zu konzentrieren.</w:t>
      </w:r>
    </w:p>
    <w:p>
      <w:pPr>
        <w:spacing w:after="120"/>
      </w:pPr>
      <w:r>
        <w:t>Für Arbeiten zur strukturierten Query-Generierung ist das Paper wertvoll, weil es Prompt-Konstruktion, Modellkapazität und Distillation in einem klaren experimentellen Setup zusammenführt.</w:t>
      </w:r>
    </w:p>
    <w:p>
      <w:pPr>
        <w:pStyle w:val="Heading1"/>
      </w:pPr>
      <w:r>
        <w:t>3. Problemstellung und Grundidee</w:t>
      </w:r>
    </w:p>
    <w:p>
      <w:pPr>
        <w:spacing w:after="120"/>
      </w:pPr>
      <w:r>
        <w:t>Aufgabe des Papers ist es, eine natürliche Sprachfrage zusammen mit Datenbankschema-Information in SQL zu übersetzen.</w:t>
      </w:r>
    </w:p>
    <w:p>
      <w:pPr>
        <w:spacing w:after="120"/>
      </w:pPr>
      <w:r>
        <w:t>Das diagnostizierte Problem ist, dass Standard-Fine-Tuning-Prompts typischerweise alle Tabellen einer Datenbank enthalten, obwohl eine konkrete Frage meist nur einen kleinen Teil davon benötigt.</w:t>
      </w:r>
    </w:p>
    <w:p>
      <w:pPr>
        <w:spacing w:after="120"/>
      </w:pPr>
      <w:r>
        <w:t>Daraus entstehen zwei Nachteile: Erstens wird der Kontext unnötig lang. Zweitens wird das Modell von irrelevanter Schema-Information abgelenkt.</w:t>
      </w:r>
    </w:p>
    <w:p>
      <w:pPr>
        <w:spacing w:after="120"/>
      </w:pPr>
      <w:r>
        <w:t>Die Antwort des Papers ist, Prompts mit unterschiedlichen Reinheitsgraden zu konstruieren und systematisch zu messen, wie sich Fokus und Robustheit zueinander verhalten.</w:t>
      </w:r>
    </w:p>
    <w:p>
      <w:pPr>
        <w:pStyle w:val="Heading1"/>
      </w:pPr>
      <w:r>
        <w:t>4. Methodenüberblick</w:t>
      </w:r>
    </w:p>
    <w:p>
      <w:pPr>
        <w:spacing w:after="120"/>
      </w:pPr>
      <w:r>
        <w:t>Die Autor:innen definieren vier Prompt-Reinheitsstufen.</w:t>
      </w:r>
    </w:p>
    <w:p>
      <w:pPr>
        <w:spacing w:after="120"/>
      </w:pPr>
      <w:r>
        <w:t>Level 1 enthält nur die Tabellen und Spalten, die für die Query relevant sind. Das ist die höchste Reinheit und gleichzeitig die kürzeste Eingabe.</w:t>
      </w:r>
    </w:p>
    <w:p>
      <w:pPr>
        <w:spacing w:after="120"/>
      </w:pPr>
      <w:r>
        <w:t>Level 2 enthält nur die relevanten Tabellen, aber nicht die exakte Reduktion auf relevante Spalten.</w:t>
      </w:r>
    </w:p>
    <w:p>
      <w:pPr>
        <w:spacing w:after="120"/>
      </w:pPr>
      <w:r>
        <w:t>Level 3 ergänzt zu den relevanten Tabellen noch eine kleine Zahl irrelevanter Tabellen. Das ist bewusst kontrollierte Unreinheit.</w:t>
      </w:r>
    </w:p>
    <w:p>
      <w:pPr>
        <w:spacing w:after="120"/>
      </w:pPr>
      <w:r>
        <w:t>Level 4 enthält das vollständige Datenbankschema und dient als Standard-Baseline.</w:t>
      </w:r>
    </w:p>
    <w:p>
      <w:pPr>
        <w:spacing w:after="120"/>
      </w:pPr>
      <w:r>
        <w:t>Beim „Pure Fine-Tuning“ werden Modelle mit diesen verschiedenen Prompt-Stufen trainiert und anschließend unter unterschiedlichen Testbedingungen ausgewertet.</w:t>
      </w:r>
    </w:p>
    <w:p>
      <w:pPr>
        <w:spacing w:after="120"/>
      </w:pPr>
      <w:r>
        <w:t>Beim „Pure Knowledge Distillation“ benutzt der Teacher einen reineren Prompt, während der Student weiterhin mit einem größeren und unreineren Prompt trainiert wird. Die Idee ist, dem Studenten die fokussiertere Schema-Aufmerksamkeit des Teachers zu vermitteln, ohne seine praktische Einsetzbarkeit unter längeren Kontexten zu verlieren.</w:t>
      </w:r>
    </w:p>
    <w:p>
      <w:pPr>
        <w:pStyle w:val="Heading1"/>
      </w:pPr>
      <w:r>
        <w:t>5. Experimentelles Setup</w:t>
      </w:r>
    </w:p>
    <w:p>
      <w:pPr>
        <w:spacing w:after="120"/>
      </w:pPr>
      <w:r>
        <w:t>Datensatz: Spider. Das Training umfasst 8.569 Beispiele über 146 Datenbanken, die Dev-Menge 1.034 Beispiele über 20 Datenbanken. Insgesamt enthält Spider 10.181 Fragen und 5.693 einzigartige SQL-Queries.</w:t>
      </w:r>
    </w:p>
    <w:p>
      <w:pPr>
        <w:spacing w:after="120"/>
      </w:pPr>
      <w:r>
        <w:t>Modelle: Llama 3.2 3B und Llama 3.2 1B.</w:t>
      </w:r>
    </w:p>
    <w:p>
      <w:pPr>
        <w:spacing w:after="120"/>
      </w:pPr>
      <w:r>
        <w:t>Baseline: Training mit Level-4-Prompts, also dem vollständigen Schema.</w:t>
      </w:r>
    </w:p>
    <w:p>
      <w:pPr>
        <w:spacing w:after="120"/>
      </w:pPr>
      <w:r>
        <w:t>Prompt-Varianten: L1, L2, L3_1, L3_2, L3_4, L3_8 und L4.</w:t>
      </w:r>
    </w:p>
    <w:p>
      <w:pPr>
        <w:spacing w:after="120"/>
      </w:pPr>
      <w:r>
        <w:t>Metriken: Test-suite Accuracy (TS) und Exact-set-match Accuracy (EM).</w:t>
      </w:r>
    </w:p>
    <w:p>
      <w:pPr>
        <w:spacing w:after="120"/>
      </w:pPr>
      <w:r>
        <w:t>Implementierungsdetails: Training auf einer NVIDIA A800 80G GPU, AdamW als Optimizer, Lernrate 1e-5, Distillation-Koeffizient 0,8 und greedy decoding.</w:t>
      </w:r>
    </w:p>
    <w:p>
      <w:pPr>
        <w:pStyle w:val="Heading1"/>
      </w:pPr>
      <w:r>
        <w:t>6. Rekonstruierte Tabellen und direkte Ergebnisse</w:t>
      </w:r>
    </w:p>
    <w:p>
      <w:pPr>
        <w:spacing w:after="120"/>
      </w:pPr>
      <w:r>
        <w:t>Die folgenden Tabellen fassen die wichtigsten quantitativen Resultate des Papers in zusammengeführter und deutsch kommentierter Form zusammen. Für meine spätere Nutzung sind gerade diese Resultate der wertvollste Teil des Papers.</w:t>
      </w:r>
    </w:p>
    <w:p>
      <w:pPr>
        <w:pStyle w:val="Heading2"/>
      </w:pPr>
      <w:r>
        <w:t>Tabelle 1. Reinheitsstufen der Prompts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Stufe</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Definition</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Interpretation</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Level 1</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Nur Tabellen und Spalten, die für die Query relevant sind</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Höchste Reinheit; maximaler Fokus, minimale Störung</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Level 2</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Nur Tabellen, die für die Query relevant sind</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Hohe Reinheit; noch kompakt, aber weniger spezifisch als Level 1</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Level 3</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Relevante Tabellen plus einige irrelevante Tabellen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Kontrollierte Unreinheit; soll Robustheit gegenüber Ablenkung lehren</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Level 4</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Alle Tabellen der Datenbank</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Niedrigste Reinheit; vollständige Schema-Baseline</w:t>
            </w:r>
          </w:p>
        </w:tc>
      </w:tr>
    </w:tbl>
    <w:p>
      <w:r>
        <w:t>Diese Stufung ist das methodische Herzstück des Papers.</w:t>
      </w:r>
    </w:p>
    <w:p>
      <w:pPr>
        <w:pStyle w:val="Heading2"/>
      </w:pPr>
      <w:r>
        <w:t>Tabelle 2. 3B-Modell, ausgewertet auf L4-dev</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tcMar>
              <w:top w:w="80" w:type="dxa"/>
              <w:start w:w="90" w:type="dxa"/>
              <w:bottom w:w="80" w:type="dxa"/>
              <w:end w:w="90" w:type="dxa"/>
            </w:tcMar>
            <w:shd w:fill="DCE6F1"/>
          </w:tcPr>
          <w:p>
            <w:pPr>
              <w:spacing w:before="0" w:after="0" w:line="259" w:lineRule="auto"/>
              <w:jc w:val="center"/>
            </w:pPr>
            <w:r>
              <w:rPr>
                <w:rFonts w:ascii="Aptos" w:hAnsi="Aptos"/>
                <w:b/>
                <w:sz w:val="20"/>
              </w:rPr>
              <w:t>Trainingsprompt</w:t>
            </w:r>
          </w:p>
        </w:tc>
        <w:tc>
          <w:tcPr>
            <w:tcW w:type="dxa" w:w="2436"/>
            <w:vAlign w:val="center"/>
            <w:tcMar>
              <w:top w:w="80" w:type="dxa"/>
              <w:start w:w="90" w:type="dxa"/>
              <w:bottom w:w="80" w:type="dxa"/>
              <w:end w:w="90" w:type="dxa"/>
            </w:tcMar>
            <w:shd w:fill="DCE6F1"/>
          </w:tcPr>
          <w:p>
            <w:pPr>
              <w:spacing w:before="0" w:after="0" w:line="259" w:lineRule="auto"/>
              <w:jc w:val="center"/>
            </w:pPr>
            <w:r>
              <w:rPr>
                <w:rFonts w:ascii="Aptos" w:hAnsi="Aptos"/>
                <w:b/>
                <w:sz w:val="20"/>
              </w:rPr>
              <w:t>TS</w:t>
            </w:r>
          </w:p>
        </w:tc>
        <w:tc>
          <w:tcPr>
            <w:tcW w:type="dxa" w:w="2436"/>
            <w:vAlign w:val="center"/>
            <w:tcMar>
              <w:top w:w="80" w:type="dxa"/>
              <w:start w:w="90" w:type="dxa"/>
              <w:bottom w:w="80" w:type="dxa"/>
              <w:end w:w="90" w:type="dxa"/>
            </w:tcMar>
            <w:shd w:fill="DCE6F1"/>
          </w:tcPr>
          <w:p>
            <w:pPr>
              <w:spacing w:before="0" w:after="0" w:line="259" w:lineRule="auto"/>
              <w:jc w:val="center"/>
            </w:pPr>
            <w:r>
              <w:rPr>
                <w:rFonts w:ascii="Aptos" w:hAnsi="Aptos"/>
                <w:b/>
                <w:sz w:val="20"/>
              </w:rPr>
              <w:t>EM</w:t>
            </w:r>
          </w:p>
        </w:tc>
        <w:tc>
          <w:tcPr>
            <w:tcW w:type="dxa" w:w="2436"/>
            <w:vAlign w:val="center"/>
            <w:tcMar>
              <w:top w:w="80" w:type="dxa"/>
              <w:start w:w="90" w:type="dxa"/>
              <w:bottom w:w="80" w:type="dxa"/>
              <w:end w:w="90" w:type="dxa"/>
            </w:tcMar>
            <w:shd w:fill="DCE6F1"/>
          </w:tcPr>
          <w:p>
            <w:pPr>
              <w:spacing w:before="0" w:after="0" w:line="259" w:lineRule="auto"/>
              <w:jc w:val="center"/>
            </w:pPr>
            <w:r>
              <w:rPr>
                <w:rFonts w:ascii="Aptos" w:hAnsi="Aptos"/>
                <w:b/>
                <w:sz w:val="20"/>
              </w:rPr>
              <w:t>Normalisierte Prompt-Länge</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L4_train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0.602</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0.612</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1.000</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L3_8 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0.643</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0.661</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0.733</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0.684</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0.698</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0.533</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L3_2 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0.663</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0.678</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0.466</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L3_1 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0.489</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0.439</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0.386</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L2_train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0.142</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0.103</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0.333</w:t>
            </w:r>
          </w:p>
        </w:tc>
      </w:tr>
      <w:tr>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L1_train</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0.057</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0.031</w:t>
            </w:r>
          </w:p>
        </w:tc>
        <w:tc>
          <w:tcPr>
            <w:tcW w:type="dxa" w:w="2436"/>
            <w:vAlign w:val="center"/>
            <w:tcMar>
              <w:top w:w="80" w:type="dxa"/>
              <w:start w:w="90" w:type="dxa"/>
              <w:bottom w:w="80" w:type="dxa"/>
              <w:end w:w="90" w:type="dxa"/>
            </w:tcMar>
          </w:tcPr>
          <w:p>
            <w:pPr>
              <w:spacing w:before="0" w:after="0" w:line="259" w:lineRule="auto"/>
              <w:jc w:val="left"/>
            </w:pPr>
            <w:r>
              <w:rPr>
                <w:rFonts w:ascii="Aptos" w:hAnsi="Aptos"/>
                <w:sz w:val="20"/>
              </w:rPr>
              <w:t>0.266</w:t>
            </w:r>
          </w:p>
        </w:tc>
      </w:tr>
    </w:tbl>
    <w:p>
      <w:r>
        <w:t>Der stärkste Wert kommt von L3_4 und damit weder vom vollständig reinen Prompt noch von der Vollschema-Baseline. Das ist die wichtigste empirische Aussage des Papers.</w:t>
      </w:r>
    </w:p>
    <w:p>
      <w:pPr>
        <w:pStyle w:val="Heading2"/>
      </w:pPr>
      <w:r>
        <w:t>Tabelle 3. 3B-Modell, ausgewertet auf L2-dev und L1-dev</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Trainingsprompt</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L2 dev TS</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L2 dev EM</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L1 dev TS</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L1 dev EM</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L4_train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0.625</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0.646</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0.670</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0.686</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L2_train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0.715</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0.760</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0.729</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0.783</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L1_train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0.567</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0.600</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0.733</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0.789</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0.719</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0.742</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0.735</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0.754</w:t>
            </w:r>
          </w:p>
        </w:tc>
      </w:tr>
    </w:tbl>
    <w:p>
      <w:r>
        <w:t>L3_4 bleibt auch dann stark, wenn sich die Reinheit des Test-Prompts verändert. Das deutet auf einen guten Kompromiss zwischen Fokus und Robustheit hin.</w:t>
      </w:r>
    </w:p>
    <w:p>
      <w:pPr>
        <w:pStyle w:val="Heading2"/>
      </w:pPr>
      <w:r>
        <w:t>Tabelle 4. 1B-Modell, ausgewertet auf L4-dev</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Trainingsprompt</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TS</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EM</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L4_train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0.577</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0.600</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L3_8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0.557</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0.565</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0.569</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0.596</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L3_2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0.557</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0.568</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L3_1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0.319</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0.288</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L2_train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0.080</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0.067</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L1_train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0.049</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0.043</w:t>
            </w:r>
          </w:p>
        </w:tc>
      </w:tr>
    </w:tbl>
    <w:p>
      <w:r>
        <w:t>Das kleinere 1B-Modell zeigt denselben grundsätzlichen Trend, übertrifft die L4-Baseline auf L4-dev aber nicht. Die Autor:innen interpretieren das als Kapazitätsgrenze.</w:t>
      </w:r>
    </w:p>
    <w:p>
      <w:pPr>
        <w:pStyle w:val="Heading2"/>
      </w:pPr>
      <w:r>
        <w:t>Tabelle 5. 1B-Modell, ausgewertet auf L2-dev und L1-dev</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Trainingsprompt</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L2 dev TS</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L2 dev EM</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L1 dev TS</w:t>
            </w:r>
          </w:p>
        </w:tc>
        <w:tc>
          <w:tcPr>
            <w:tcW w:type="dxa" w:w="1949"/>
            <w:vAlign w:val="center"/>
            <w:tcMar>
              <w:top w:w="80" w:type="dxa"/>
              <w:start w:w="90" w:type="dxa"/>
              <w:bottom w:w="80" w:type="dxa"/>
              <w:end w:w="90" w:type="dxa"/>
            </w:tcMar>
            <w:shd w:fill="DCE6F1"/>
          </w:tcPr>
          <w:p>
            <w:pPr>
              <w:spacing w:before="0" w:after="0" w:line="259" w:lineRule="auto"/>
              <w:jc w:val="center"/>
            </w:pPr>
            <w:r>
              <w:rPr>
                <w:rFonts w:ascii="Aptos" w:hAnsi="Aptos"/>
                <w:b/>
                <w:sz w:val="20"/>
              </w:rPr>
              <w:t>L1 dev EM</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L4_train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0.598</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0.630</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0.603</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0.636</w:t>
            </w:r>
          </w:p>
        </w:tc>
      </w:tr>
      <w:tr>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0.625</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0.658</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0.640</w:t>
            </w:r>
          </w:p>
        </w:tc>
        <w:tc>
          <w:tcPr>
            <w:tcW w:type="dxa" w:w="1949"/>
            <w:vAlign w:val="center"/>
            <w:tcMar>
              <w:top w:w="80" w:type="dxa"/>
              <w:start w:w="90" w:type="dxa"/>
              <w:bottom w:w="80" w:type="dxa"/>
              <w:end w:w="90" w:type="dxa"/>
            </w:tcMar>
          </w:tcPr>
          <w:p>
            <w:pPr>
              <w:spacing w:before="0" w:after="0" w:line="259" w:lineRule="auto"/>
              <w:jc w:val="left"/>
            </w:pPr>
            <w:r>
              <w:rPr>
                <w:rFonts w:ascii="Aptos" w:hAnsi="Aptos"/>
                <w:sz w:val="20"/>
              </w:rPr>
              <w:t>0.671</w:t>
            </w:r>
          </w:p>
        </w:tc>
      </w:tr>
    </w:tbl>
    <w:p>
      <w:r>
        <w:t>Obwohl L3_4 auf L4-dev nicht besser als die Baseline ist, verbessert es die Ergebnisse des 1B-Modells unter saubereren Test-Prompts.</w:t>
      </w:r>
    </w:p>
    <w:p>
      <w:pPr>
        <w:pStyle w:val="Heading2"/>
      </w:pPr>
      <w:r>
        <w:t>Tabelle 6. Pure Knowledge Distillation auf dem 1B-Modell (getestet auf L4-dev)</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Modell / Setting</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TS</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EM</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L4-Trainingsbaseline</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0.577</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0.600</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Pure-KD</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0.596</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0.602</w:t>
            </w:r>
          </w:p>
        </w:tc>
      </w:tr>
    </w:tbl>
    <w:p>
      <w:r>
        <w:t>Pure-KD verbessert die Test-suite Accuracy um 1,9 Punkte. Der Gewinn ist klein, aber relevant – insbesondere weil der Teacher mit einem deutlich kürzeren und reineren Prompt arbeitet.</w:t>
      </w:r>
    </w:p>
    <w:p>
      <w:pPr>
        <w:pStyle w:val="Heading2"/>
      </w:pPr>
      <w:r>
        <w:t>Tabelle 7. Vergleich mit hochrangigen Methoden auf Spider-dev</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Kategorie</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Modell / Setting</w:t>
            </w:r>
          </w:p>
        </w:tc>
        <w:tc>
          <w:tcPr>
            <w:tcW w:type="dxa" w:w="3249"/>
            <w:vAlign w:val="center"/>
            <w:tcMar>
              <w:top w:w="80" w:type="dxa"/>
              <w:start w:w="90" w:type="dxa"/>
              <w:bottom w:w="80" w:type="dxa"/>
              <w:end w:w="90" w:type="dxa"/>
            </w:tcMar>
            <w:shd w:fill="DCE6F1"/>
          </w:tcPr>
          <w:p>
            <w:pPr>
              <w:spacing w:before="0" w:after="0" w:line="259" w:lineRule="auto"/>
              <w:jc w:val="center"/>
            </w:pPr>
            <w:r>
              <w:rPr>
                <w:rFonts w:ascii="Aptos" w:hAnsi="Aptos"/>
                <w:b/>
                <w:sz w:val="20"/>
              </w:rPr>
              <w:t>TS</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Fine-Tuning</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RASAT+PICARD</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0.703</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Fine-Tuning</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RESDSQL-3B + NatSQL</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0.735</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Few-Shot</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GPT-4 (Few-shot)</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0.674</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Few-Shot</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SQL-PaLM</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0.724</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Few-Shot</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DIN-SQL (mit GPT-4)</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0.742</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Ours</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0.684</w:t>
            </w:r>
          </w:p>
        </w:tc>
      </w:tr>
      <w:tr>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Ours (L1-Testprompt)</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L3_4 train</w:t>
            </w:r>
          </w:p>
        </w:tc>
        <w:tc>
          <w:tcPr>
            <w:tcW w:type="dxa" w:w="3249"/>
            <w:vAlign w:val="center"/>
            <w:tcMar>
              <w:top w:w="80" w:type="dxa"/>
              <w:start w:w="90" w:type="dxa"/>
              <w:bottom w:w="80" w:type="dxa"/>
              <w:end w:w="90" w:type="dxa"/>
            </w:tcMar>
          </w:tcPr>
          <w:p>
            <w:pPr>
              <w:spacing w:before="0" w:after="0" w:line="259" w:lineRule="auto"/>
              <w:jc w:val="left"/>
            </w:pPr>
            <w:r>
              <w:rPr>
                <w:rFonts w:ascii="Aptos" w:hAnsi="Aptos"/>
                <w:sz w:val="20"/>
              </w:rPr>
              <w:t>0.735</w:t>
            </w:r>
          </w:p>
        </w:tc>
      </w:tr>
    </w:tbl>
    <w:p>
      <w:r>
        <w:t>Das Verfahren setzt nicht den absoluten State of the Art, ist aber konkurrenzfähig und übertrifft GPT-4 im Few-Shot-Setting, obwohl es auf einer deutlich günstigeren Fine-Tuning-Pipeline basiert.</w:t>
      </w:r>
    </w:p>
    <w:p>
      <w:pPr>
        <w:pStyle w:val="Heading1"/>
      </w:pPr>
      <w:r>
        <w:t>7. Was die Ergebnisse für mich bedeuten</w:t>
      </w:r>
    </w:p>
    <w:p>
      <w:pPr>
        <w:spacing w:after="120"/>
      </w:pPr>
      <w:r>
        <w:t>Das Paper behauptet nicht, dass der reinste Prompt immer der beste ist. Im Gegenteil: Vollständig reine Prompts können das Modell auf eine unrealistische Situation festlegen, in der alle gezeigten Tabellen relevant sind.</w:t>
      </w:r>
    </w:p>
    <w:p>
      <w:pPr>
        <w:spacing w:after="120"/>
      </w:pPr>
      <w:r>
        <w:t>Das beste 3B-Ergebnis stammt aus kontrollierter Unreinheit. Das Modell erhält genug relevante Information, um fokussiert zu bleiben, aber auch genug irrelevante Information, um zwischen wichtig und unwichtig unterscheiden zu lernen.</w:t>
      </w:r>
    </w:p>
    <w:p>
      <w:pPr>
        <w:spacing w:after="120"/>
      </w:pPr>
      <w:r>
        <w:t>Das ist eine sehr wichtige Einsicht für strukturierte Query-Generierung allgemein: Trainingsinputs sollten dem Modell nicht nur zeigen, was es benutzen soll, sondern auch, was es ignorieren lernen muss.</w:t>
      </w:r>
    </w:p>
    <w:p>
      <w:pPr>
        <w:spacing w:after="120"/>
      </w:pPr>
      <w:r>
        <w:t>Das Distillation-Ergebnis stützt dieselbe Intuition. Ein stärkerer Teacher, der mit sehr reinen Prompts arbeitet, kann einen Teil seiner fokussierten Schema-Aufmerksamkeit an einen kleineren Studenten weitergeben.</w:t>
      </w:r>
    </w:p>
    <w:p>
      <w:pPr>
        <w:pStyle w:val="Heading1"/>
      </w:pPr>
      <w:r>
        <w:t>8. Stärken des Papers</w:t>
      </w:r>
    </w:p>
    <w:p>
      <w:pPr>
        <w:spacing w:after="120"/>
      </w:pPr>
      <w:r>
        <w:t>Die Forschungsfrage ist einfach, klar und praktisch relevant.</w:t>
      </w:r>
    </w:p>
    <w:p>
      <w:pPr>
        <w:spacing w:after="120"/>
      </w:pPr>
      <w:r>
        <w:t>Die Methode ist leichtgewichtig: Statt eine neue große Architektur einzuführen, verändern die Autor:innen gezielt die Prompt-Konstruktion.</w:t>
      </w:r>
    </w:p>
    <w:p>
      <w:pPr>
        <w:spacing w:after="120"/>
      </w:pPr>
      <w:r>
        <w:t>Die Experimente trennen sauber zwischen Trainings-Prompt-Reinheit und Test-Prompt-Reinheit.</w:t>
      </w:r>
    </w:p>
    <w:p>
      <w:pPr>
        <w:spacing w:after="120"/>
      </w:pPr>
      <w:r>
        <w:t>Das Paper liefert sowohl ein Fine-Tuning-Ergebnis als auch einen Teacher–Student-Transfer-Beitrag.</w:t>
      </w:r>
    </w:p>
    <w:p>
      <w:pPr>
        <w:pStyle w:val="Heading1"/>
      </w:pPr>
      <w:r>
        <w:t>9. Grenzen und kritische Einordnung</w:t>
      </w:r>
    </w:p>
    <w:p>
      <w:pPr>
        <w:spacing w:after="120"/>
      </w:pPr>
      <w:r>
        <w:t>Die Arbeit bezieht sich auf Text-to-SQL und nicht direkt auf Text-to-SPARQL. Für meine Bachelorarbeit muss ich die Übertragbarkeit auf Knowledge-Graph-Queries deshalb argumentativ sauber herstellen.</w:t>
      </w:r>
    </w:p>
    <w:p>
      <w:pPr>
        <w:spacing w:after="120"/>
      </w:pPr>
      <w:r>
        <w:t>Die Zugewinne durch Distillation sind nützlich, aber nicht riesig. Deshalb sollte Pure-KD eher als gezielte Optimierung und nicht als radikaler Durchbruch gelesen werden.</w:t>
      </w:r>
    </w:p>
    <w:p>
      <w:pPr>
        <w:spacing w:after="120"/>
      </w:pPr>
      <w:r>
        <w:t>Der stärkste Effekt hängt sichtbar vom Modellmaßstab ab: Das 3B-Modell profitiert deutlicher von kontrollierter Unreinheit als das 1B-Modell.</w:t>
      </w:r>
    </w:p>
    <w:p>
      <w:pPr>
        <w:spacing w:after="120"/>
      </w:pPr>
      <w:r>
        <w:t>Das Paper zeigt sehr überzeugend, dass zu viel Schema-Kontext schaden kann, aber es beantwortet nicht vollständig, wie sich dieses Prinzip in noch komplexeren graphbasierten Query-Sprachen verhält.</w:t>
      </w:r>
    </w:p>
    <w:p>
      <w:pPr>
        <w:pStyle w:val="Heading1"/>
      </w:pPr>
      <w:r>
        <w:t>10. Relevanz für meine Bachelorarbeit</w:t>
      </w:r>
    </w:p>
    <w:p>
      <w:pPr>
        <w:spacing w:after="120"/>
      </w:pPr>
      <w:r>
        <w:t>Für meine Arbeit ist dieses Paper vor allem deshalb wichtig, weil es eine klare methodische Idee liefert, die ich auf meine eigenen Experimente übertragen kann: Nicht jede zusätzliche Schema-Information hilft dem Modell.</w:t>
      </w:r>
    </w:p>
    <w:p>
      <w:pPr>
        <w:spacing w:after="120"/>
      </w:pPr>
      <w:r>
        <w:t>Gerade bei ORKG-Templates mit verschachtelten Strukturen könnte die bewusste Auswahl eines kleineren, relevanteren Schemakontexts ein wichtiger Hebel sein – entweder beim Fine-Tuning selbst oder bei Prompt-/Kontextkonstruktion zur Inferenz.</w:t>
      </w:r>
    </w:p>
    <w:p>
      <w:pPr>
        <w:spacing w:after="120"/>
      </w:pPr>
      <w:r>
        <w:t>Außerdem ist das Paper für meinen Teacher–Student-Teil relevant, weil es zeigt, dass Distillation nicht nur über Modellgrößen, sondern auch über unterschiedliche Eingabeformen gedacht werden kann. Ein Teacher kann mit einem reineren, stärker fokussierten Prompt arbeiten, während ein Student mit einem praktischeren und noisigeren Prompt trainiert wird.</w:t>
      </w:r>
    </w:p>
    <w:p>
      <w:pPr>
        <w:spacing w:after="120"/>
      </w:pPr>
      <w:r>
        <w:t>Ich nehme aus dem Paper mit, dass gute Leistung nicht nur eine Frage des Modells ist, sondern auch eine Frage der Struktur und Reinheit des Inputs.</w:t>
      </w:r>
    </w:p>
    <w:p>
      <w:pPr>
        <w:pStyle w:val="Heading1"/>
      </w:pPr>
      <w:r>
        <w:t>11. Kurzfazit</w:t>
      </w:r>
    </w:p>
    <w:p>
      <w:pPr>
        <w:spacing w:after="120"/>
      </w:pPr>
      <w:r>
        <w:t>Für mich zeigt dieses Paper, dass beim Fine-Tuning für strukturierte Query-Generierung ein mittelgradig gereinigter Prompt oft besser funktioniert als sowohl der vollständig reine als auch der vollständig unreine Prompt.</w:t>
      </w:r>
    </w:p>
    <w:p>
      <w:pPr>
        <w:spacing w:after="120"/>
      </w:pPr>
      <w:r>
        <w:t>Noch wichtiger ist die methodische Einsicht, dass Prompt-Design und Distillation als zusammenhängende Optimierungshebel betrachtet werden können. Genau deshalb ist das Paper für meine Arbeit nützlich: Es liefert keine direkte SPARQL-Lösung, aber einen sehr brauchbaren Transfergedanken für Fine-Tuning und Teacher–Student-Lernen.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