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jc w:val="center"/>
      </w:pPr>
      <w:r>
        <w:rPr>
          <w:rFonts w:ascii="Calibri" w:hAnsi="Calibri"/>
          <w:b w:val="0"/>
          <w:i w:val="0"/>
        </w:rPr>
        <w:t>Paper Analysis Dossier</w:t>
      </w:r>
    </w:p>
    <w:p>
      <w:pPr>
        <w:spacing w:after="200" w:before="0"/>
        <w:jc w:val="center"/>
      </w:pPr>
      <w:r>
        <w:rPr>
          <w:rFonts w:ascii="Calibri" w:hAnsi="Calibri"/>
          <w:b w:val="0"/>
          <w:i w:val="0"/>
          <w:color w:val="4A4A4A"/>
          <w:sz w:val="22"/>
        </w:rPr>
        <w:t>Prepared for thesis work on Practical Text-to-SPARQL for the Open Research Knowledge Graph</w:t>
      </w:r>
    </w:p>
    <w:p>
      <w:pPr>
        <w:spacing w:after="40" w:before="0"/>
        <w:jc w:val="center"/>
      </w:pPr>
      <w:r>
        <w:rPr>
          <w:rFonts w:ascii="Calibri" w:hAnsi="Calibri"/>
          <w:b/>
          <w:i w:val="0"/>
          <w:color w:val="1F4E79"/>
          <w:sz w:val="21"/>
        </w:rPr>
        <w:t>Primary paper under review</w:t>
      </w:r>
    </w:p>
    <w:p>
      <w:pPr>
        <w:spacing w:after="160" w:before="0"/>
        <w:jc w:val="center"/>
      </w:pPr>
      <w:r>
        <w:rPr>
          <w:rFonts w:ascii="Calibri" w:hAnsi="Calibri"/>
          <w:b/>
          <w:i w:val="0"/>
          <w:sz w:val="28"/>
        </w:rPr>
        <w:t>Exploring Large Language Models for Scientific Question Answering via Natural Language to SPARQL Translation</w:t>
      </w:r>
    </w:p>
    <w:p>
      <w:pPr>
        <w:spacing w:after="40" w:before="0"/>
        <w:jc w:val="center"/>
      </w:pPr>
      <w:r>
        <w:rPr>
          <w:rFonts w:ascii="Calibri" w:hAnsi="Calibri"/>
          <w:b w:val="0"/>
          <w:i w:val="0"/>
          <w:sz w:val="20"/>
        </w:rPr>
        <w:t>Authors: Antonello Meloni; Diego Reforgiato Recupero; Francesco Osborne; Angelo Salatino; Enrico Motta; Sahar Vahdati; Jens Lehmann</w:t>
      </w:r>
    </w:p>
    <w:p>
      <w:pPr>
        <w:spacing w:after="40" w:before="0"/>
        <w:jc w:val="center"/>
      </w:pPr>
      <w:r>
        <w:rPr>
          <w:rFonts w:ascii="Calibri" w:hAnsi="Calibri"/>
          <w:b w:val="0"/>
          <w:i w:val="0"/>
          <w:sz w:val="20"/>
        </w:rPr>
        <w:t>Venue: ACM Transactions on Intelligent Systems and Technology (ACM TIST)</w:t>
      </w:r>
    </w:p>
    <w:p>
      <w:pPr>
        <w:spacing w:after="40" w:before="0"/>
        <w:jc w:val="center"/>
      </w:pPr>
      <w:r>
        <w:rPr>
          <w:rFonts w:ascii="Calibri" w:hAnsi="Calibri"/>
          <w:b w:val="0"/>
          <w:i w:val="0"/>
          <w:sz w:val="20"/>
        </w:rPr>
        <w:t>DOI: 10.1145/3757923</w:t>
      </w:r>
    </w:p>
    <w:p>
      <w:pPr>
        <w:spacing w:after="280" w:before="0"/>
        <w:jc w:val="center"/>
      </w:pPr>
      <w:r>
        <w:rPr>
          <w:rFonts w:ascii="Calibri" w:hAnsi="Calibri"/>
          <w:b w:val="0"/>
          <w:i w:val="0"/>
          <w:color w:val="555555"/>
          <w:sz w:val="19"/>
        </w:rPr>
        <w:t>Received: 14 February 2024 | Revised: 8 July 2025 | Accepted: 19 July 2025 | Published: 1 August 2025</w:t>
      </w:r>
    </w:p>
    <w:p>
      <w:pPr>
        <w:spacing w:after="80" w:before="0"/>
      </w:pPr>
      <w:r>
        <w:rPr>
          <w:b/>
          <w:color w:val="1F4E79"/>
          <w:sz w:val="22"/>
        </w:rPr>
        <w:t>Purpose of this dossier</w:t>
      </w:r>
    </w:p>
    <w:p>
      <w:pPr>
        <w:spacing w:after="160" w:before="0"/>
        <w:ind w:left="216" w:right="216"/>
      </w:pPr>
      <w:r>
        <w:rPr>
          <w:rFonts w:ascii="Calibri" w:hAnsi="Calibri"/>
          <w:b w:val="0"/>
          <w:i w:val="0"/>
          <w:sz w:val="20"/>
        </w:rPr>
        <w:t>This document consolidates the paper's most useful content for later reuse in a bachelor's thesis, especially for the methodology, related work, analysis, and discussion sections. It combines the uploaded ACM paper with the uploaded working note, while clearly separating direct paper evidence from reader-side interpretation.</w:t>
      </w:r>
    </w:p>
    <w:p>
      <w:pPr>
        <w:pStyle w:val="Heading1"/>
        <w:spacing w:after="120" w:before="0"/>
      </w:pPr>
      <w:r>
        <w:rPr>
          <w:rFonts w:ascii="Calibri" w:hAnsi="Calibri"/>
          <w:b w:val="0"/>
          <w:i w:val="0"/>
        </w:rPr>
        <w:t>What this paper does in one paragraph</w:t>
      </w:r>
    </w:p>
    <w:p>
      <w:pPr>
        <w:spacing w:after="120" w:before="0"/>
      </w:pPr>
      <w:r>
        <w:rPr>
          <w:rFonts w:ascii="Calibri" w:hAnsi="Calibri"/>
          <w:b w:val="0"/>
          <w:i w:val="0"/>
          <w:sz w:val="20"/>
        </w:rPr>
        <w:t>Meloni et al. study how well language models can translate scientific natural-language questions into executable SPARQL queries over scholarly knowledge graphs. They evaluate six models on SciQA (for ORKG) and then test the strongest configurations on DBLP-QuAD. The paper compares fine-tuning, zero-shot prompting, and strategically selected few-shot prompting; performs a dedicated error analysis; adds execution-based evaluation on DBLP-QuAD; proposes a retrieval-augmented ensemble; and explores transfer learning between the two benchmarks.</w:t>
      </w:r>
    </w:p>
    <w:p>
      <w:pPr>
        <w:pStyle w:val="Heading1"/>
        <w:spacing w:after="120" w:before="0"/>
      </w:pPr>
      <w:r>
        <w:rPr>
          <w:rFonts w:ascii="Calibri" w:hAnsi="Calibri"/>
          <w:b w:val="0"/>
          <w:i w:val="0"/>
        </w:rPr>
        <w:t>Why it is important for this thesis</w:t>
      </w:r>
    </w:p>
    <w:p>
      <w:pPr>
        <w:pStyle w:val="ListBullet"/>
        <w:spacing w:after="60"/>
        <w:ind w:left="288"/>
      </w:pPr>
      <w:r>
        <w:rPr>
          <w:rFonts w:ascii="Calibri" w:hAnsi="Calibri"/>
          <w:sz w:val="20"/>
        </w:rPr>
        <w:t>It is directly about scientific NL-to-SPARQL translation, not generic QA.</w:t>
      </w:r>
    </w:p>
    <w:p>
      <w:pPr>
        <w:pStyle w:val="ListBullet"/>
        <w:spacing w:after="60"/>
        <w:ind w:left="288"/>
      </w:pPr>
      <w:r>
        <w:rPr>
          <w:rFonts w:ascii="Calibri" w:hAnsi="Calibri"/>
          <w:sz w:val="20"/>
        </w:rPr>
        <w:t>It uses SciQA on ORKG, which is closely aligned with the thesis domain.</w:t>
      </w:r>
    </w:p>
    <w:p>
      <w:pPr>
        <w:pStyle w:val="ListBullet"/>
        <w:spacing w:after="60"/>
        <w:ind w:left="288"/>
      </w:pPr>
      <w:r>
        <w:rPr>
          <w:rFonts w:ascii="Calibri" w:hAnsi="Calibri"/>
          <w:sz w:val="20"/>
        </w:rPr>
        <w:t>It shows that strong open-source models can achieve excellent results after targeted adaptation.</w:t>
      </w:r>
    </w:p>
    <w:p>
      <w:pPr>
        <w:pStyle w:val="ListBullet"/>
        <w:spacing w:after="60"/>
        <w:ind w:left="288"/>
      </w:pPr>
      <w:r>
        <w:rPr>
          <w:rFonts w:ascii="Calibri" w:hAnsi="Calibri"/>
          <w:sz w:val="20"/>
        </w:rPr>
        <w:t>It provides evidence for three thesis-relevant levers: fine-tuning, context/prompt engineering, and cross-dataset transfer.</w:t>
      </w:r>
    </w:p>
    <w:p>
      <w:pPr>
        <w:pStyle w:val="ListBullet"/>
        <w:spacing w:after="60"/>
        <w:ind w:left="288"/>
      </w:pPr>
      <w:r>
        <w:rPr>
          <w:rFonts w:ascii="Calibri" w:hAnsi="Calibri"/>
          <w:sz w:val="20"/>
        </w:rPr>
        <w:t>It identifies the exact failure modes that matter for ORKG-style SPARQL generation: wrong predicates, semantic misunderstanding, entity errors, and syntax issues.</w:t>
      </w:r>
    </w:p>
    <w:p>
      <w:pPr>
        <w:pStyle w:val="Heading1"/>
        <w:spacing w:after="120" w:before="0"/>
      </w:pPr>
      <w:r>
        <w:rPr>
          <w:rFonts w:ascii="Calibri" w:hAnsi="Calibri"/>
          <w:b w:val="0"/>
          <w:i w:val="0"/>
        </w:rPr>
        <w:t>Bibliographic record and research focus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90" w:type="dxa"/>
              <w:start w:w="100" w:type="dxa"/>
              <w:bottom w:w="90" w:type="dxa"/>
              <w:end w:w="100" w:type="dxa"/>
            </w:tcMar>
            <w:shd w:fill="1F4E79"/>
          </w:tcPr>
          <w:p>
            <w:pPr>
              <w:spacing w:after="0" w:before="0"/>
              <w:jc w:val="center"/>
            </w:pPr>
            <w:r/>
            <w:r>
              <w:rPr>
                <w:rFonts w:ascii="Calibri" w:hAnsi="Calibri"/>
                <w:b/>
                <w:color w:val="FFFFFF"/>
                <w:sz w:val="19"/>
              </w:rPr>
              <w:t>Field</w:t>
            </w:r>
          </w:p>
        </w:tc>
        <w:tc>
          <w:tcPr>
            <w:tcW w:type="dxa" w:w="8352"/>
            <w:vAlign w:val="center"/>
            <w:tcMar>
              <w:top w:w="90" w:type="dxa"/>
              <w:start w:w="100" w:type="dxa"/>
              <w:bottom w:w="90" w:type="dxa"/>
              <w:end w:w="100" w:type="dxa"/>
            </w:tcMar>
            <w:shd w:fill="1F4E79"/>
          </w:tcPr>
          <w:p>
            <w:pPr>
              <w:spacing w:after="0" w:before="0"/>
              <w:jc w:val="center"/>
            </w:pPr>
            <w:r/>
            <w:r>
              <w:rPr>
                <w:rFonts w:ascii="Calibri" w:hAnsi="Calibri"/>
                <w:b/>
                <w:color w:val="FFFFFF"/>
                <w:sz w:val="19"/>
              </w:rPr>
              <w:t>Value</w:t>
            </w:r>
          </w:p>
        </w:tc>
      </w:tr>
      <w:tr>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sz w:val="19"/>
              </w:rPr>
              <w:t>Paper</w:t>
            </w:r>
          </w:p>
        </w:tc>
        <w:tc>
          <w:tcPr>
            <w:tcW w:type="dxa" w:w="8352"/>
            <w:vAlign w:val="center"/>
            <w:tcMar>
              <w:top w:w="80" w:type="dxa"/>
              <w:start w:w="100" w:type="dxa"/>
              <w:bottom w:w="80" w:type="dxa"/>
              <w:end w:w="100" w:type="dxa"/>
            </w:tcMar>
          </w:tcPr>
          <w:p>
            <w:pPr>
              <w:spacing w:before="0" w:after="0" w:line="240" w:lineRule="auto"/>
              <w:jc w:val="left"/>
            </w:pPr>
            <w:r/>
            <w:r>
              <w:rPr>
                <w:rFonts w:ascii="Calibri" w:hAnsi="Calibri"/>
                <w:b w:val="0"/>
                <w:sz w:val="19"/>
              </w:rPr>
              <w:t>Exploring Large Language Models for Scientific Question Answering via Natural Language to SPARQL Translation</w:t>
            </w:r>
          </w:p>
        </w:tc>
      </w:tr>
      <w:tr>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sz w:val="19"/>
              </w:rPr>
              <w:t>Authors</w:t>
            </w:r>
          </w:p>
        </w:tc>
        <w:tc>
          <w:tcPr>
            <w:tcW w:type="dxa" w:w="835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9"/>
              </w:rPr>
              <w:t>Antonello Meloni; Diego Reforgiato Recupero; Francesco Osborne; Angelo Salatino; Enrico Motta; Sahar Vahdati; Jens Lehmann</w:t>
            </w:r>
          </w:p>
        </w:tc>
      </w:tr>
      <w:tr>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sz w:val="19"/>
              </w:rPr>
              <w:t>Venue</w:t>
            </w:r>
          </w:p>
        </w:tc>
        <w:tc>
          <w:tcPr>
            <w:tcW w:type="dxa" w:w="8352"/>
            <w:vAlign w:val="center"/>
            <w:tcMar>
              <w:top w:w="80" w:type="dxa"/>
              <w:start w:w="100" w:type="dxa"/>
              <w:bottom w:w="80" w:type="dxa"/>
              <w:end w:w="100" w:type="dxa"/>
            </w:tcMar>
          </w:tcPr>
          <w:p>
            <w:pPr>
              <w:spacing w:before="0" w:after="0" w:line="240" w:lineRule="auto"/>
              <w:jc w:val="left"/>
            </w:pPr>
            <w:r/>
            <w:r>
              <w:rPr>
                <w:rFonts w:ascii="Calibri" w:hAnsi="Calibri"/>
                <w:b w:val="0"/>
                <w:sz w:val="19"/>
              </w:rPr>
              <w:t>ACM Transactions on Intelligent Systems and Technology (ACM TIST)</w:t>
            </w:r>
          </w:p>
        </w:tc>
      </w:tr>
      <w:tr>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sz w:val="19"/>
              </w:rPr>
              <w:t>DOI</w:t>
            </w:r>
          </w:p>
        </w:tc>
        <w:tc>
          <w:tcPr>
            <w:tcW w:type="dxa" w:w="835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9"/>
              </w:rPr>
              <w:t>10.1145/3757923</w:t>
            </w:r>
          </w:p>
        </w:tc>
      </w:tr>
      <w:tr>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sz w:val="19"/>
              </w:rPr>
              <w:t>Core task</w:t>
            </w:r>
          </w:p>
        </w:tc>
        <w:tc>
          <w:tcPr>
            <w:tcW w:type="dxa" w:w="8352"/>
            <w:vAlign w:val="center"/>
            <w:tcMar>
              <w:top w:w="80" w:type="dxa"/>
              <w:start w:w="100" w:type="dxa"/>
              <w:bottom w:w="80" w:type="dxa"/>
              <w:end w:w="100" w:type="dxa"/>
            </w:tcMar>
          </w:tcPr>
          <w:p>
            <w:pPr>
              <w:spacing w:before="0" w:after="0" w:line="240" w:lineRule="auto"/>
              <w:jc w:val="left"/>
            </w:pPr>
            <w:r/>
            <w:r>
              <w:rPr>
                <w:rFonts w:ascii="Calibri" w:hAnsi="Calibri"/>
                <w:b w:val="0"/>
                <w:sz w:val="19"/>
              </w:rPr>
              <w:t>Translate natural-language scientific questions into SPARQL queries executable over domain-specific knowledge graphs.</w:t>
            </w:r>
          </w:p>
        </w:tc>
      </w:tr>
      <w:tr>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sz w:val="19"/>
              </w:rPr>
              <w:t>Benchmarks</w:t>
            </w:r>
          </w:p>
        </w:tc>
        <w:tc>
          <w:tcPr>
            <w:tcW w:type="dxa" w:w="835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9"/>
              </w:rPr>
              <w:t>SciQA (ORKG) and DBLP-QuAD (DBLP Knowledge Graph).</w:t>
            </w:r>
          </w:p>
        </w:tc>
      </w:tr>
      <w:tr>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sz w:val="19"/>
              </w:rPr>
              <w:t>Main claim</w:t>
            </w:r>
          </w:p>
        </w:tc>
        <w:tc>
          <w:tcPr>
            <w:tcW w:type="dxa" w:w="8352"/>
            <w:vAlign w:val="center"/>
            <w:tcMar>
              <w:top w:w="80" w:type="dxa"/>
              <w:start w:w="100" w:type="dxa"/>
              <w:bottom w:w="80" w:type="dxa"/>
              <w:end w:w="100" w:type="dxa"/>
            </w:tcMar>
          </w:tcPr>
          <w:p>
            <w:pPr>
              <w:spacing w:before="0" w:after="0" w:line="240" w:lineRule="auto"/>
              <w:jc w:val="left"/>
            </w:pPr>
            <w:r/>
            <w:r>
              <w:rPr>
                <w:rFonts w:ascii="Calibri" w:hAnsi="Calibri"/>
                <w:b w:val="0"/>
                <w:sz w:val="19"/>
              </w:rPr>
              <w:t>Fine-tuning and well-chosen prompting together can produce very strong NL-to-SPARQL results, but schema understanding and benchmark difficulty remain central issues.</w:t>
            </w:r>
          </w:p>
        </w:tc>
      </w:tr>
    </w:tbl>
    <w:p>
      <w:pPr>
        <w:spacing w:before="20" w:after="160"/>
        <w:jc w:val="left"/>
      </w:pPr>
      <w:r>
        <w:rPr>
          <w:b/>
          <w:sz w:val="17"/>
        </w:rPr>
        <w:t xml:space="preserve">Source: </w:t>
      </w:r>
      <w:r>
        <w:rPr>
          <w:i/>
          <w:sz w:val="17"/>
        </w:rPr>
        <w:t>Compiled from the uploaded ACM TIST paper metadata and abstract.</w:t>
      </w:r>
    </w:p>
    <w:p>
      <w:pPr>
        <w:pStyle w:val="Heading1"/>
        <w:spacing w:after="120" w:before="0"/>
      </w:pPr>
      <w:r>
        <w:rPr>
          <w:rFonts w:ascii="Calibri" w:hAnsi="Calibri"/>
          <w:b w:val="0"/>
          <w:i w:val="0"/>
        </w:rPr>
        <w:t>Experimental task and benchmark overview</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Benchmark</w:t>
            </w:r>
          </w:p>
        </w:tc>
        <w:tc>
          <w:tcPr>
            <w:tcW w:type="dxa" w:w="244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Graph / domain</w:t>
            </w:r>
          </w:p>
        </w:tc>
        <w:tc>
          <w:tcPr>
            <w:tcW w:type="dxa" w:w="2592"/>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Size and split</w:t>
            </w:r>
          </w:p>
        </w:tc>
        <w:tc>
          <w:tcPr>
            <w:tcW w:type="dxa" w:w="3240"/>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Notable properties</w:t>
            </w:r>
          </w:p>
        </w:tc>
        <w:tc>
          <w:tcPr>
            <w:tcW w:type="dxa" w:w="316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Why it matters here</w:t>
            </w:r>
          </w:p>
        </w:tc>
      </w:tr>
      <w:tr>
        <w:tc>
          <w:tcPr>
            <w:tcW w:type="dxa" w:w="1728"/>
            <w:vAlign w:val="center"/>
            <w:tcMar>
              <w:top w:w="80" w:type="dxa"/>
              <w:start w:w="100" w:type="dxa"/>
              <w:bottom w:w="80" w:type="dxa"/>
              <w:end w:w="100" w:type="dxa"/>
            </w:tcMar>
          </w:tcPr>
          <w:p>
            <w:pPr>
              <w:spacing w:before="0" w:after="0" w:line="240" w:lineRule="auto"/>
              <w:jc w:val="left"/>
            </w:pPr>
            <w:r/>
            <w:r>
              <w:rPr>
                <w:rFonts w:ascii="Calibri" w:hAnsi="Calibri"/>
                <w:b/>
                <w:sz w:val="17"/>
              </w:rPr>
              <w:t>SciQA</w:t>
            </w:r>
          </w:p>
        </w:tc>
        <w:tc>
          <w:tcPr>
            <w:tcW w:type="dxa" w:w="2448"/>
            <w:vAlign w:val="center"/>
            <w:tcMar>
              <w:top w:w="80" w:type="dxa"/>
              <w:start w:w="100" w:type="dxa"/>
              <w:bottom w:w="80" w:type="dxa"/>
              <w:end w:w="100" w:type="dxa"/>
            </w:tcMar>
          </w:tcPr>
          <w:p>
            <w:pPr>
              <w:spacing w:before="0" w:after="0" w:line="240" w:lineRule="auto"/>
              <w:jc w:val="left"/>
            </w:pPr>
            <w:r/>
            <w:r>
              <w:rPr>
                <w:rFonts w:ascii="Calibri" w:hAnsi="Calibri"/>
                <w:b w:val="0"/>
                <w:sz w:val="17"/>
              </w:rPr>
              <w:t>Open Research Knowledge Graph (ORKG)</w:t>
            </w:r>
          </w:p>
        </w:tc>
        <w:tc>
          <w:tcPr>
            <w:tcW w:type="dxa" w:w="2592"/>
            <w:vAlign w:val="center"/>
            <w:tcMar>
              <w:top w:w="80" w:type="dxa"/>
              <w:start w:w="100" w:type="dxa"/>
              <w:bottom w:w="80" w:type="dxa"/>
              <w:end w:w="100" w:type="dxa"/>
            </w:tcMar>
          </w:tcPr>
          <w:p>
            <w:pPr>
              <w:spacing w:before="0" w:after="0" w:line="240" w:lineRule="auto"/>
              <w:jc w:val="left"/>
            </w:pPr>
            <w:r/>
            <w:r>
              <w:rPr>
                <w:rFonts w:ascii="Calibri" w:hAnsi="Calibri"/>
                <w:b w:val="0"/>
                <w:sz w:val="17"/>
              </w:rPr>
              <w:t>2,565 question-query pairs; 70/10/20 split (1,795/257/513)</w:t>
            </w:r>
          </w:p>
        </w:tc>
        <w:tc>
          <w:tcPr>
            <w:tcW w:type="dxa" w:w="3240"/>
            <w:vAlign w:val="center"/>
            <w:tcMar>
              <w:top w:w="80" w:type="dxa"/>
              <w:start w:w="100" w:type="dxa"/>
              <w:bottom w:w="80" w:type="dxa"/>
              <w:end w:w="100" w:type="dxa"/>
            </w:tcMar>
          </w:tcPr>
          <w:p>
            <w:pPr>
              <w:spacing w:before="0" w:after="0" w:line="240" w:lineRule="auto"/>
              <w:jc w:val="left"/>
            </w:pPr>
            <w:r/>
            <w:r>
              <w:rPr>
                <w:rFonts w:ascii="Calibri" w:hAnsi="Calibri"/>
                <w:b w:val="0"/>
                <w:sz w:val="17"/>
              </w:rPr>
              <w:t>100 manual seed pairs + 2,465 automatically generated and human-verified pairs; 8 question templates; ORKG has &gt;170k resources, ~15k articles, 709 topics.</w:t>
            </w:r>
          </w:p>
        </w:tc>
        <w:tc>
          <w:tcPr>
            <w:tcW w:type="dxa" w:w="3168"/>
            <w:vAlign w:val="center"/>
            <w:tcMar>
              <w:top w:w="80" w:type="dxa"/>
              <w:start w:w="100" w:type="dxa"/>
              <w:bottom w:w="80" w:type="dxa"/>
              <w:end w:w="100" w:type="dxa"/>
            </w:tcMar>
          </w:tcPr>
          <w:p>
            <w:pPr>
              <w:spacing w:before="0" w:after="0" w:line="240" w:lineRule="auto"/>
              <w:jc w:val="left"/>
            </w:pPr>
            <w:r/>
            <w:r>
              <w:rPr>
                <w:rFonts w:ascii="Calibri" w:hAnsi="Calibri"/>
                <w:b w:val="0"/>
                <w:sz w:val="17"/>
              </w:rPr>
              <w:t>Directly relevant to thesis because it targets scientific QA over ORKG-like scholarly graph structure.</w:t>
            </w:r>
          </w:p>
        </w:tc>
      </w:tr>
      <w:tr>
        <w:tc>
          <w:tcPr>
            <w:tcW w:type="dxa" w:w="172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DBLP-QuAD</w:t>
            </w:r>
          </w:p>
        </w:tc>
        <w:tc>
          <w:tcPr>
            <w:tcW w:type="dxa" w:w="244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DBLP Knowledge Graph</w:t>
            </w:r>
          </w:p>
        </w:tc>
        <w:tc>
          <w:tcPr>
            <w:tcW w:type="dxa" w:w="259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10,000 question-query pairs; 7/1/2 split</w:t>
            </w:r>
          </w:p>
        </w:tc>
        <w:tc>
          <w:tcPr>
            <w:tcW w:type="dxa" w:w="324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13,348 entities, 11 predicates, 10 query types, 2,350 temporal questions; entities and relations are explicitly provided in the input.</w:t>
            </w:r>
          </w:p>
        </w:tc>
        <w:tc>
          <w:tcPr>
            <w:tcW w:type="dxa" w:w="316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Useful as a contrast benchmark showing how much explicit schema/entity guidance helps NL-to-SPARQL.</w:t>
            </w:r>
          </w:p>
        </w:tc>
      </w:tr>
    </w:tbl>
    <w:p>
      <w:pPr>
        <w:spacing w:before="20" w:after="160"/>
        <w:jc w:val="left"/>
      </w:pPr>
      <w:r>
        <w:rPr>
          <w:b/>
          <w:sz w:val="17"/>
        </w:rPr>
        <w:t xml:space="preserve">Source: </w:t>
      </w:r>
      <w:r>
        <w:rPr>
          <w:i/>
          <w:sz w:val="17"/>
        </w:rPr>
        <w:t>Adapted from Sections 3.1 and 6.1 of Meloni et al. (2025).</w:t>
      </w:r>
    </w:p>
    <w:p>
      <w:pPr>
        <w:spacing w:before="160" w:after="60"/>
        <w:jc w:val="left"/>
      </w:pPr>
      <w:r>
        <w:rPr>
          <w:b/>
          <w:sz w:val="20"/>
        </w:rPr>
        <w:t xml:space="preserve">Table. </w:t>
      </w:r>
      <w:r>
        <w:rPr>
          <w:i/>
          <w:sz w:val="20"/>
        </w:rPr>
        <w:t>SciQA split composition and template distribution.</w:t>
      </w:r>
    </w:p>
    <w:tbl>
      <w:tblPr>
        <w:tblStyle w:val="TableGrid"/>
        <w:tblW w:type="auto" w:w="0"/>
        <w:jc w:val="center"/>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tblHeader w:val="true"/>
        </w:trPr>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Split</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 Human-generated</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 Auto-generated</w:t>
            </w:r>
          </w:p>
        </w:tc>
        <w:tc>
          <w:tcPr>
            <w:tcW w:type="dxa" w:w="1008"/>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Human %</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T1</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T2</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T3</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T4</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T5</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T6</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T7</w:t>
            </w:r>
          </w:p>
        </w:tc>
        <w:tc>
          <w:tcPr>
            <w:tcW w:type="dxa" w:w="749"/>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T8</w:t>
            </w:r>
          </w:p>
        </w:tc>
      </w:tr>
      <w:tr>
        <w:tc>
          <w:tcPr>
            <w:tcW w:type="dxa" w:w="1440"/>
            <w:vAlign w:val="center"/>
            <w:tcMar>
              <w:top w:w="80" w:type="dxa"/>
              <w:start w:w="100" w:type="dxa"/>
              <w:bottom w:w="80" w:type="dxa"/>
              <w:end w:w="100" w:type="dxa"/>
            </w:tcMar>
          </w:tcPr>
          <w:p>
            <w:pPr>
              <w:spacing w:before="0" w:after="0" w:line="240" w:lineRule="auto"/>
              <w:jc w:val="left"/>
            </w:pPr>
            <w:r/>
            <w:r>
              <w:rPr>
                <w:rFonts w:ascii="Calibri" w:hAnsi="Calibri"/>
                <w:b/>
                <w:sz w:val="16"/>
              </w:rPr>
              <w:t>Training</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6"/>
              </w:rPr>
              <w:t>66</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6"/>
              </w:rPr>
              <w:t>1,729</w:t>
            </w:r>
          </w:p>
        </w:tc>
        <w:tc>
          <w:tcPr>
            <w:tcW w:type="dxa" w:w="1008"/>
            <w:vAlign w:val="center"/>
            <w:tcMar>
              <w:top w:w="80" w:type="dxa"/>
              <w:start w:w="100" w:type="dxa"/>
              <w:bottom w:w="80" w:type="dxa"/>
              <w:end w:w="100" w:type="dxa"/>
            </w:tcMar>
          </w:tcPr>
          <w:p>
            <w:pPr>
              <w:spacing w:before="0" w:after="0" w:line="240" w:lineRule="auto"/>
              <w:jc w:val="center"/>
            </w:pPr>
            <w:r/>
            <w:r>
              <w:rPr>
                <w:rFonts w:ascii="Calibri" w:hAnsi="Calibri"/>
                <w:b w:val="0"/>
                <w:sz w:val="16"/>
              </w:rPr>
              <w:t>3.7%</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13.5%</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13.3%</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12.9%</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13.3%</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18.1%</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2.7%</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22.3%</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0.3%</w:t>
            </w:r>
          </w:p>
        </w:tc>
      </w:tr>
      <w:tr>
        <w:tc>
          <w:tcPr>
            <w:tcW w:type="dxa" w:w="1440"/>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Validation</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13</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244</w:t>
            </w:r>
          </w:p>
        </w:tc>
        <w:tc>
          <w:tcPr>
            <w:tcW w:type="dxa" w:w="100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5.1%</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14.0%</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15.6%</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14.8%</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9.7%</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16.3%</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3.5%</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21.0%</w:t>
            </w:r>
          </w:p>
        </w:tc>
        <w:tc>
          <w:tcPr>
            <w:tcW w:type="dxa" w:w="749"/>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0.0%</w:t>
            </w:r>
          </w:p>
        </w:tc>
      </w:tr>
      <w:tr>
        <w:tc>
          <w:tcPr>
            <w:tcW w:type="dxa" w:w="1440"/>
            <w:vAlign w:val="center"/>
            <w:tcMar>
              <w:top w:w="80" w:type="dxa"/>
              <w:start w:w="100" w:type="dxa"/>
              <w:bottom w:w="80" w:type="dxa"/>
              <w:end w:w="100" w:type="dxa"/>
            </w:tcMar>
          </w:tcPr>
          <w:p>
            <w:pPr>
              <w:spacing w:before="0" w:after="0" w:line="240" w:lineRule="auto"/>
              <w:jc w:val="left"/>
            </w:pPr>
            <w:r/>
            <w:r>
              <w:rPr>
                <w:rFonts w:ascii="Calibri" w:hAnsi="Calibri"/>
                <w:b/>
                <w:sz w:val="16"/>
              </w:rPr>
              <w:t>Test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6"/>
              </w:rPr>
              <w:t>21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6"/>
              </w:rPr>
              <w:t>492</w:t>
            </w:r>
          </w:p>
        </w:tc>
        <w:tc>
          <w:tcPr>
            <w:tcW w:type="dxa" w:w="1008"/>
            <w:vAlign w:val="center"/>
            <w:tcMar>
              <w:top w:w="80" w:type="dxa"/>
              <w:start w:w="100" w:type="dxa"/>
              <w:bottom w:w="80" w:type="dxa"/>
              <w:end w:w="100" w:type="dxa"/>
            </w:tcMar>
          </w:tcPr>
          <w:p>
            <w:pPr>
              <w:spacing w:before="0" w:after="0" w:line="240" w:lineRule="auto"/>
              <w:jc w:val="center"/>
            </w:pPr>
            <w:r/>
            <w:r>
              <w:rPr>
                <w:rFonts w:ascii="Calibri" w:hAnsi="Calibri"/>
                <w:b w:val="0"/>
                <w:sz w:val="16"/>
              </w:rPr>
              <w:t>4.1%</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12.5%</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12.7%</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14.2%</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15.4%</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18.5%</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2.9%</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19.5%</w:t>
            </w:r>
          </w:p>
        </w:tc>
        <w:tc>
          <w:tcPr>
            <w:tcW w:type="dxa" w:w="749"/>
            <w:vAlign w:val="center"/>
            <w:tcMar>
              <w:top w:w="80" w:type="dxa"/>
              <w:start w:w="100" w:type="dxa"/>
              <w:bottom w:w="80" w:type="dxa"/>
              <w:end w:w="100" w:type="dxa"/>
            </w:tcMar>
          </w:tcPr>
          <w:p>
            <w:pPr>
              <w:spacing w:before="0" w:after="0" w:line="240" w:lineRule="auto"/>
              <w:jc w:val="center"/>
            </w:pPr>
            <w:r/>
            <w:r>
              <w:rPr>
                <w:rFonts w:ascii="Calibri" w:hAnsi="Calibri"/>
                <w:b w:val="0"/>
                <w:sz w:val="16"/>
              </w:rPr>
              <w:t>0.2%</w:t>
            </w:r>
          </w:p>
        </w:tc>
      </w:tr>
    </w:tbl>
    <w:p>
      <w:pPr>
        <w:spacing w:before="20" w:after="160"/>
        <w:jc w:val="left"/>
      </w:pPr>
      <w:r>
        <w:rPr>
          <w:b/>
          <w:sz w:val="17"/>
        </w:rPr>
        <w:t xml:space="preserve">Source: </w:t>
      </w:r>
      <w:r>
        <w:rPr>
          <w:i/>
          <w:sz w:val="17"/>
        </w:rPr>
        <w:t>Reproduced from Table 1 in Meloni et al. (2025).</w:t>
      </w:r>
    </w:p>
    <w:p>
      <w:pPr>
        <w:spacing w:after="120" w:before="0"/>
      </w:pPr>
      <w:r>
        <w:rPr>
          <w:rFonts w:ascii="Calibri" w:hAnsi="Calibri"/>
          <w:b w:val="0"/>
          <w:i w:val="0"/>
          <w:sz w:val="20"/>
        </w:rPr>
        <w:t>The SciQA benchmark is built from 2,565 question-query pairs over ORKG. Of these, 100 were manually authored, and 2,465 were automatically generated from eight question templates and then verified by human experts. The template distribution is imbalanced, with T7 being the largest category in all splits. This matters because some prompting strategies depend on template diversity or same-template selection.</w:t>
      </w:r>
    </w:p>
    <w:p>
      <w:pPr>
        <w:pStyle w:val="Heading1"/>
        <w:spacing w:after="120" w:before="0"/>
      </w:pPr>
      <w:r>
        <w:rPr>
          <w:rFonts w:ascii="Calibri" w:hAnsi="Calibri"/>
          <w:b w:val="0"/>
          <w:i w:val="0"/>
        </w:rPr>
        <w:t>Models, optimization strategies, and implementation choices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58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Model</w:t>
            </w:r>
          </w:p>
        </w:tc>
        <w:tc>
          <w:tcPr>
            <w:tcW w:type="dxa" w:w="165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Architecture</w:t>
            </w:r>
          </w:p>
        </w:tc>
        <w:tc>
          <w:tcPr>
            <w:tcW w:type="dxa" w:w="1008"/>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Params</w:t>
            </w:r>
          </w:p>
        </w:tc>
        <w:tc>
          <w:tcPr>
            <w:tcW w:type="dxa" w:w="129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Context</w:t>
            </w:r>
          </w:p>
        </w:tc>
        <w:tc>
          <w:tcPr>
            <w:tcW w:type="dxa" w:w="158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SciQA strategy used</w:t>
            </w:r>
          </w:p>
        </w:tc>
        <w:tc>
          <w:tcPr>
            <w:tcW w:type="dxa" w:w="482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Key training / prompting details</w:t>
            </w:r>
          </w:p>
        </w:tc>
      </w:tr>
      <w:tr>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sz w:val="16"/>
              </w:rPr>
              <w:t>T5-base</w:t>
            </w:r>
          </w:p>
        </w:tc>
        <w:tc>
          <w:tcPr>
            <w:tcW w:type="dxa" w:w="1656"/>
            <w:vAlign w:val="center"/>
            <w:tcMar>
              <w:top w:w="80" w:type="dxa"/>
              <w:start w:w="100" w:type="dxa"/>
              <w:bottom w:w="80" w:type="dxa"/>
              <w:end w:w="100" w:type="dxa"/>
            </w:tcMar>
          </w:tcPr>
          <w:p>
            <w:pPr>
              <w:spacing w:before="0" w:after="0" w:line="240" w:lineRule="auto"/>
              <w:jc w:val="left"/>
            </w:pPr>
            <w:r/>
            <w:r>
              <w:rPr>
                <w:rFonts w:ascii="Calibri" w:hAnsi="Calibri"/>
                <w:b w:val="0"/>
                <w:sz w:val="16"/>
              </w:rPr>
              <w:t>Encoder-decoder</w:t>
            </w:r>
          </w:p>
        </w:tc>
        <w:tc>
          <w:tcPr>
            <w:tcW w:type="dxa" w:w="1008"/>
            <w:vAlign w:val="center"/>
            <w:tcMar>
              <w:top w:w="80" w:type="dxa"/>
              <w:start w:w="100" w:type="dxa"/>
              <w:bottom w:w="80" w:type="dxa"/>
              <w:end w:w="100" w:type="dxa"/>
            </w:tcMar>
          </w:tcPr>
          <w:p>
            <w:pPr>
              <w:spacing w:before="0" w:after="0" w:line="240" w:lineRule="auto"/>
              <w:jc w:val="left"/>
            </w:pPr>
            <w:r/>
            <w:r>
              <w:rPr>
                <w:rFonts w:ascii="Calibri" w:hAnsi="Calibri"/>
                <w:b w:val="0"/>
                <w:sz w:val="16"/>
              </w:rPr>
              <w:t>220M</w:t>
            </w:r>
          </w:p>
        </w:tc>
        <w:tc>
          <w:tcPr>
            <w:tcW w:type="dxa" w:w="1296"/>
            <w:vAlign w:val="center"/>
            <w:tcMar>
              <w:top w:w="80" w:type="dxa"/>
              <w:start w:w="100" w:type="dxa"/>
              <w:bottom w:w="80" w:type="dxa"/>
              <w:end w:w="100" w:type="dxa"/>
            </w:tcMar>
          </w:tcPr>
          <w:p>
            <w:pPr>
              <w:spacing w:before="0" w:after="0" w:line="240" w:lineRule="auto"/>
              <w:jc w:val="left"/>
            </w:pPr>
            <w:r/>
            <w:r>
              <w:rPr>
                <w:rFonts w:ascii="Calibri" w:hAnsi="Calibri"/>
                <w:b w:val="0"/>
                <w:sz w:val="16"/>
              </w:rPr>
              <w:t>512 tokens</w:t>
            </w:r>
          </w:p>
        </w:tc>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val="0"/>
                <w:sz w:val="16"/>
              </w:rPr>
              <w:t>FT only</w:t>
            </w:r>
          </w:p>
        </w:tc>
        <w:tc>
          <w:tcPr>
            <w:tcW w:type="dxa" w:w="4824"/>
            <w:vAlign w:val="center"/>
            <w:tcMar>
              <w:top w:w="80" w:type="dxa"/>
              <w:start w:w="100" w:type="dxa"/>
              <w:bottom w:w="80" w:type="dxa"/>
              <w:end w:w="100" w:type="dxa"/>
            </w:tcMar>
          </w:tcPr>
          <w:p>
            <w:pPr>
              <w:spacing w:before="0" w:after="0" w:line="240" w:lineRule="auto"/>
              <w:jc w:val="left"/>
            </w:pPr>
            <w:r/>
            <w:r>
              <w:rPr>
                <w:rFonts w:ascii="Calibri" w:hAnsi="Calibri"/>
                <w:b w:val="0"/>
                <w:sz w:val="16"/>
              </w:rPr>
              <w:t>Prefix: 'Translate English to SPARQL:'; 1,795 training pairs; 20 epochs.</w:t>
            </w:r>
          </w:p>
        </w:tc>
      </w:tr>
      <w:tr>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GPT-2-large</w:t>
            </w:r>
          </w:p>
        </w:tc>
        <w:tc>
          <w:tcPr>
            <w:tcW w:type="dxa" w:w="165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Decoder-only</w:t>
            </w:r>
          </w:p>
        </w:tc>
        <w:tc>
          <w:tcPr>
            <w:tcW w:type="dxa" w:w="100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774M</w:t>
            </w:r>
          </w:p>
        </w:tc>
        <w:tc>
          <w:tcPr>
            <w:tcW w:type="dxa" w:w="129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1,024 tokens</w:t>
            </w:r>
          </w:p>
        </w:tc>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ZSL, FSL, FT</w:t>
            </w:r>
          </w:p>
        </w:tc>
        <w:tc>
          <w:tcPr>
            <w:tcW w:type="dxa" w:w="482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FSL limited to 1-3 shots due to context window; FT over 20 epochs with &lt;|endoftext|&gt; separators.</w:t>
            </w:r>
          </w:p>
        </w:tc>
      </w:tr>
      <w:tr>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sz w:val="16"/>
              </w:rPr>
              <w:t>Dolly-v2-3b</w:t>
            </w:r>
          </w:p>
        </w:tc>
        <w:tc>
          <w:tcPr>
            <w:tcW w:type="dxa" w:w="1656"/>
            <w:vAlign w:val="center"/>
            <w:tcMar>
              <w:top w:w="80" w:type="dxa"/>
              <w:start w:w="100" w:type="dxa"/>
              <w:bottom w:w="80" w:type="dxa"/>
              <w:end w:w="100" w:type="dxa"/>
            </w:tcMar>
          </w:tcPr>
          <w:p>
            <w:pPr>
              <w:spacing w:before="0" w:after="0" w:line="240" w:lineRule="auto"/>
              <w:jc w:val="left"/>
            </w:pPr>
            <w:r/>
            <w:r>
              <w:rPr>
                <w:rFonts w:ascii="Calibri" w:hAnsi="Calibri"/>
                <w:b w:val="0"/>
                <w:sz w:val="16"/>
              </w:rPr>
              <w:t>Decoder-only</w:t>
            </w:r>
          </w:p>
        </w:tc>
        <w:tc>
          <w:tcPr>
            <w:tcW w:type="dxa" w:w="1008"/>
            <w:vAlign w:val="center"/>
            <w:tcMar>
              <w:top w:w="80" w:type="dxa"/>
              <w:start w:w="100" w:type="dxa"/>
              <w:bottom w:w="80" w:type="dxa"/>
              <w:end w:w="100" w:type="dxa"/>
            </w:tcMar>
          </w:tcPr>
          <w:p>
            <w:pPr>
              <w:spacing w:before="0" w:after="0" w:line="240" w:lineRule="auto"/>
              <w:jc w:val="left"/>
            </w:pPr>
            <w:r/>
            <w:r>
              <w:rPr>
                <w:rFonts w:ascii="Calibri" w:hAnsi="Calibri"/>
                <w:b w:val="0"/>
                <w:sz w:val="16"/>
              </w:rPr>
              <w:t>2.8B</w:t>
            </w:r>
          </w:p>
        </w:tc>
        <w:tc>
          <w:tcPr>
            <w:tcW w:type="dxa" w:w="1296"/>
            <w:vAlign w:val="center"/>
            <w:tcMar>
              <w:top w:w="80" w:type="dxa"/>
              <w:start w:w="100" w:type="dxa"/>
              <w:bottom w:w="80" w:type="dxa"/>
              <w:end w:w="100" w:type="dxa"/>
            </w:tcMar>
          </w:tcPr>
          <w:p>
            <w:pPr>
              <w:spacing w:before="0" w:after="0" w:line="240" w:lineRule="auto"/>
              <w:jc w:val="left"/>
            </w:pPr>
            <w:r/>
            <w:r>
              <w:rPr>
                <w:rFonts w:ascii="Calibri" w:hAnsi="Calibri"/>
                <w:b w:val="0"/>
                <w:sz w:val="16"/>
              </w:rPr>
              <w:t>2,048 tokens</w:t>
            </w:r>
          </w:p>
        </w:tc>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val="0"/>
                <w:sz w:val="16"/>
              </w:rPr>
              <w:t>ZSL, FSL, FT</w:t>
            </w:r>
          </w:p>
        </w:tc>
        <w:tc>
          <w:tcPr>
            <w:tcW w:type="dxa" w:w="4824"/>
            <w:vAlign w:val="center"/>
            <w:tcMar>
              <w:top w:w="80" w:type="dxa"/>
              <w:start w:w="100" w:type="dxa"/>
              <w:bottom w:w="80" w:type="dxa"/>
              <w:end w:w="100" w:type="dxa"/>
            </w:tcMar>
          </w:tcPr>
          <w:p>
            <w:pPr>
              <w:spacing w:before="0" w:after="0" w:line="240" w:lineRule="auto"/>
              <w:jc w:val="left"/>
            </w:pPr>
            <w:r/>
            <w:r>
              <w:rPr>
                <w:rFonts w:ascii="Calibri" w:hAnsi="Calibri"/>
                <w:b w:val="0"/>
                <w:sz w:val="16"/>
              </w:rPr>
              <w:t>1, 3, 5, 7-shot FSL; FT for 5 epochs; QLoRA used for FT.</w:t>
            </w:r>
          </w:p>
        </w:tc>
      </w:tr>
      <w:tr>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Mistral-7B-v0.1</w:t>
            </w:r>
          </w:p>
        </w:tc>
        <w:tc>
          <w:tcPr>
            <w:tcW w:type="dxa" w:w="165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Decoder-only</w:t>
            </w:r>
          </w:p>
        </w:tc>
        <w:tc>
          <w:tcPr>
            <w:tcW w:type="dxa" w:w="100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7B</w:t>
            </w:r>
          </w:p>
        </w:tc>
        <w:tc>
          <w:tcPr>
            <w:tcW w:type="dxa" w:w="129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Long-context via SWA/GQA</w:t>
            </w:r>
          </w:p>
        </w:tc>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ZSL, FSL, FT</w:t>
            </w:r>
          </w:p>
        </w:tc>
        <w:tc>
          <w:tcPr>
            <w:tcW w:type="dxa" w:w="482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1, 3, 5, 7-shot FSL; FT for 5 epochs; 4-bit quantization and QLoRA.</w:t>
            </w:r>
          </w:p>
        </w:tc>
      </w:tr>
      <w:tr>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sz w:val="16"/>
              </w:rPr>
              <w:t>Llama3.1-8B</w:t>
            </w:r>
          </w:p>
        </w:tc>
        <w:tc>
          <w:tcPr>
            <w:tcW w:type="dxa" w:w="1656"/>
            <w:vAlign w:val="center"/>
            <w:tcMar>
              <w:top w:w="80" w:type="dxa"/>
              <w:start w:w="100" w:type="dxa"/>
              <w:bottom w:w="80" w:type="dxa"/>
              <w:end w:w="100" w:type="dxa"/>
            </w:tcMar>
          </w:tcPr>
          <w:p>
            <w:pPr>
              <w:spacing w:before="0" w:after="0" w:line="240" w:lineRule="auto"/>
              <w:jc w:val="left"/>
            </w:pPr>
            <w:r/>
            <w:r>
              <w:rPr>
                <w:rFonts w:ascii="Calibri" w:hAnsi="Calibri"/>
                <w:b w:val="0"/>
                <w:sz w:val="16"/>
              </w:rPr>
              <w:t>Decoder-only</w:t>
            </w:r>
          </w:p>
        </w:tc>
        <w:tc>
          <w:tcPr>
            <w:tcW w:type="dxa" w:w="1008"/>
            <w:vAlign w:val="center"/>
            <w:tcMar>
              <w:top w:w="80" w:type="dxa"/>
              <w:start w:w="100" w:type="dxa"/>
              <w:bottom w:w="80" w:type="dxa"/>
              <w:end w:w="100" w:type="dxa"/>
            </w:tcMar>
          </w:tcPr>
          <w:p>
            <w:pPr>
              <w:spacing w:before="0" w:after="0" w:line="240" w:lineRule="auto"/>
              <w:jc w:val="left"/>
            </w:pPr>
            <w:r/>
            <w:r>
              <w:rPr>
                <w:rFonts w:ascii="Calibri" w:hAnsi="Calibri"/>
                <w:b w:val="0"/>
                <w:sz w:val="16"/>
              </w:rPr>
              <w:t>8B</w:t>
            </w:r>
          </w:p>
        </w:tc>
        <w:tc>
          <w:tcPr>
            <w:tcW w:type="dxa" w:w="1296"/>
            <w:vAlign w:val="center"/>
            <w:tcMar>
              <w:top w:w="80" w:type="dxa"/>
              <w:start w:w="100" w:type="dxa"/>
              <w:bottom w:w="80" w:type="dxa"/>
              <w:end w:w="100" w:type="dxa"/>
            </w:tcMar>
          </w:tcPr>
          <w:p>
            <w:pPr>
              <w:spacing w:before="0" w:after="0" w:line="240" w:lineRule="auto"/>
              <w:jc w:val="left"/>
            </w:pPr>
            <w:r/>
            <w:r>
              <w:rPr>
                <w:rFonts w:ascii="Calibri" w:hAnsi="Calibri"/>
                <w:b w:val="0"/>
                <w:sz w:val="16"/>
              </w:rPr>
              <w:t>128k tokens</w:t>
            </w:r>
          </w:p>
        </w:tc>
        <w:tc>
          <w:tcPr>
            <w:tcW w:type="dxa" w:w="1584"/>
            <w:vAlign w:val="center"/>
            <w:tcMar>
              <w:top w:w="80" w:type="dxa"/>
              <w:start w:w="100" w:type="dxa"/>
              <w:bottom w:w="80" w:type="dxa"/>
              <w:end w:w="100" w:type="dxa"/>
            </w:tcMar>
          </w:tcPr>
          <w:p>
            <w:pPr>
              <w:spacing w:before="0" w:after="0" w:line="240" w:lineRule="auto"/>
              <w:jc w:val="left"/>
            </w:pPr>
            <w:r/>
            <w:r>
              <w:rPr>
                <w:rFonts w:ascii="Calibri" w:hAnsi="Calibri"/>
                <w:b w:val="0"/>
                <w:sz w:val="16"/>
              </w:rPr>
              <w:t>FT only</w:t>
            </w:r>
          </w:p>
        </w:tc>
        <w:tc>
          <w:tcPr>
            <w:tcW w:type="dxa" w:w="4824"/>
            <w:vAlign w:val="center"/>
            <w:tcMar>
              <w:top w:w="80" w:type="dxa"/>
              <w:start w:w="100" w:type="dxa"/>
              <w:bottom w:w="80" w:type="dxa"/>
              <w:end w:w="100" w:type="dxa"/>
            </w:tcMar>
          </w:tcPr>
          <w:p>
            <w:pPr>
              <w:spacing w:before="0" w:after="0" w:line="240" w:lineRule="auto"/>
              <w:jc w:val="left"/>
            </w:pPr>
            <w:r/>
            <w:r>
              <w:rPr>
                <w:rFonts w:ascii="Calibri" w:hAnsi="Calibri"/>
                <w:b w:val="0"/>
                <w:sz w:val="16"/>
              </w:rPr>
              <w:t>Instruction-style SFT prompt; 10 epochs; 4-bit quantization via unsloth.</w:t>
            </w:r>
          </w:p>
        </w:tc>
      </w:tr>
      <w:tr>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GPT-3.5 Turbo</w:t>
            </w:r>
          </w:p>
        </w:tc>
        <w:tc>
          <w:tcPr>
            <w:tcW w:type="dxa" w:w="165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Decoder-only</w:t>
            </w:r>
          </w:p>
        </w:tc>
        <w:tc>
          <w:tcPr>
            <w:tcW w:type="dxa" w:w="100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~175B (paper description)</w:t>
            </w:r>
          </w:p>
        </w:tc>
        <w:tc>
          <w:tcPr>
            <w:tcW w:type="dxa" w:w="1296"/>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16k tokens</w:t>
            </w:r>
          </w:p>
        </w:tc>
        <w:tc>
          <w:tcPr>
            <w:tcW w:type="dxa" w:w="158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ZSL, FSL</w:t>
            </w:r>
          </w:p>
        </w:tc>
        <w:tc>
          <w:tcPr>
            <w:tcW w:type="dxa" w:w="482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API-based prompting only; 1, 3, 5, 7-shot FSL; no entropy-low-perplexity variant.</w:t>
            </w:r>
          </w:p>
        </w:tc>
      </w:tr>
    </w:tbl>
    <w:p>
      <w:pPr>
        <w:spacing w:before="20" w:after="160"/>
        <w:jc w:val="left"/>
      </w:pPr>
      <w:r>
        <w:rPr>
          <w:b/>
          <w:sz w:val="17"/>
        </w:rPr>
        <w:t xml:space="preserve">Source: </w:t>
      </w:r>
      <w:r>
        <w:rPr>
          <w:i/>
          <w:sz w:val="17"/>
        </w:rPr>
        <w:t>Adapted from Sections 3.2, 4.1, and 4.2 of Meloni et al. (2025).</w:t>
      </w:r>
    </w:p>
    <w:p>
      <w:pPr>
        <w:spacing w:after="120" w:before="0"/>
      </w:pPr>
      <w:r>
        <w:rPr>
          <w:rFonts w:ascii="Calibri" w:hAnsi="Calibri"/>
          <w:b w:val="0"/>
          <w:i w:val="0"/>
          <w:sz w:val="20"/>
        </w:rPr>
        <w:t>The paper compares three optimization families: fine-tuning (FT), zero-shot learning (ZSL), and few-shot learning (FSL). For few-shot prompting, the authors test eight selection methods: random, semantic similarity, two diversity variants, DPPs, and three entropy-based variants. This makes the paper especially useful for thesis methodology because it does not only report one final score; it studies which type of adaptation is helpful and under which constraints.</w:t>
      </w:r>
    </w:p>
    <w:p>
      <w:pPr>
        <w:pStyle w:val="Heading2"/>
        <w:spacing w:after="120" w:before="0"/>
      </w:pPr>
      <w:r>
        <w:rPr>
          <w:rFonts w:ascii="Calibri" w:hAnsi="Calibri"/>
          <w:b w:val="0"/>
          <w:i w:val="0"/>
        </w:rPr>
        <w:t>Implementation details worth reusing in a thesis methodology section</w:t>
      </w:r>
    </w:p>
    <w:p>
      <w:pPr>
        <w:pStyle w:val="ListBullet"/>
        <w:spacing w:after="60"/>
        <w:ind w:left="288"/>
      </w:pPr>
      <w:r>
        <w:rPr>
          <w:rFonts w:ascii="Calibri" w:hAnsi="Calibri"/>
          <w:sz w:val="20"/>
        </w:rPr>
        <w:t>T5-base was fine-tuned with Seq2SeqTrainer; learning rate 2e-5, weight decay 0.01, fp16, and generation with max_new_tokens=512.</w:t>
      </w:r>
    </w:p>
    <w:p>
      <w:pPr>
        <w:pStyle w:val="ListBullet"/>
        <w:spacing w:after="60"/>
        <w:ind w:left="288"/>
      </w:pPr>
      <w:r>
        <w:rPr>
          <w:rFonts w:ascii="Calibri" w:hAnsi="Calibri"/>
          <w:sz w:val="20"/>
        </w:rPr>
        <w:t>GPT-2-large was fine-tuned with the HuggingFace Trainer and used through the text-generation pipeline.</w:t>
      </w:r>
    </w:p>
    <w:p>
      <w:pPr>
        <w:pStyle w:val="ListBullet"/>
        <w:spacing w:after="60"/>
        <w:ind w:left="288"/>
      </w:pPr>
      <w:r>
        <w:rPr>
          <w:rFonts w:ascii="Calibri" w:hAnsi="Calibri"/>
          <w:sz w:val="20"/>
        </w:rPr>
        <w:t>Dolly-v2-3b and Mistral-7B-v0.1 used QLoRA for fine-tuning; Mistral also used bitsandbytes 4-bit quantization.</w:t>
      </w:r>
    </w:p>
    <w:p>
      <w:pPr>
        <w:pStyle w:val="ListBullet"/>
        <w:spacing w:after="60"/>
        <w:ind w:left="288"/>
      </w:pPr>
      <w:r>
        <w:rPr>
          <w:rFonts w:ascii="Calibri" w:hAnsi="Calibri"/>
          <w:sz w:val="20"/>
        </w:rPr>
        <w:t>Llama3.1-8B was fine-tuned via unsloth + SFTTrainer with 4-bit loading, batch size 2, gradient accumulation 4, and learning rate 2e-4 for 10 epochs.</w:t>
      </w:r>
    </w:p>
    <w:p>
      <w:pPr>
        <w:pStyle w:val="ListBullet"/>
        <w:spacing w:after="60"/>
        <w:ind w:left="288"/>
      </w:pPr>
      <w:r>
        <w:rPr>
          <w:rFonts w:ascii="Calibri" w:hAnsi="Calibri"/>
          <w:sz w:val="20"/>
        </w:rPr>
        <w:t>GPT-3.5 Turbo was used through the OpenAI API with prompting only; it was not fine-tuned in this study.</w:t>
      </w:r>
    </w:p>
    <w:p>
      <w:pPr>
        <w:sectPr>
          <w:pgSz w:w="12240" w:h="15840"/>
          <w:pgMar w:top="1008" w:right="1080" w:bottom="864" w:left="1080" w:header="720" w:footer="720" w:gutter="0"/>
          <w:cols w:space="720"/>
          <w:docGrid w:linePitch="360"/>
        </w:sectPr>
      </w:pPr>
    </w:p>
    <w:p>
      <w:pPr>
        <w:pStyle w:val="Heading1"/>
        <w:spacing w:after="120" w:before="0"/>
      </w:pPr>
      <w:r>
        <w:rPr>
          <w:rFonts w:ascii="Calibri" w:hAnsi="Calibri"/>
          <w:b w:val="0"/>
          <w:i w:val="0"/>
        </w:rPr>
        <w:t>Core results on SciQA</w:t>
      </w:r>
    </w:p>
    <w:p>
      <w:pPr>
        <w:spacing w:after="120" w:before="0"/>
      </w:pPr>
      <w:r>
        <w:rPr>
          <w:rFonts w:ascii="Calibri" w:hAnsi="Calibri"/>
          <w:b w:val="0"/>
          <w:i w:val="0"/>
          <w:sz w:val="20"/>
        </w:rPr>
        <w:t>The paper reports per-model tables (Tables 2-7) and then consolidates the practically most relevant comparison in Table 8. For thesis use, Table 8 is the most decision-relevant summary because it shows the best-scoring fine-tuned and prompting configurations side by side.</w:t>
      </w:r>
    </w:p>
    <w:p>
      <w:pPr>
        <w:spacing w:before="160" w:after="60"/>
        <w:jc w:val="left"/>
      </w:pPr>
      <w:r>
        <w:rPr>
          <w:b/>
          <w:sz w:val="20"/>
        </w:rPr>
        <w:t xml:space="preserve">Table. </w:t>
      </w:r>
      <w:r>
        <w:rPr>
          <w:i/>
          <w:sz w:val="20"/>
        </w:rPr>
        <w:t>SciQA summary of F1 scores with exact matches in parentheses.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1037"/>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Strategy</w:t>
            </w:r>
          </w:p>
        </w:tc>
        <w:tc>
          <w:tcPr>
            <w:tcW w:type="dxa" w:w="1872"/>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Criterion / test</w:t>
            </w:r>
          </w:p>
        </w:tc>
        <w:tc>
          <w:tcPr>
            <w:tcW w:type="dxa" w:w="648"/>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Shots</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T5-base</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GPT-2-large</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Dolly-v2-3b</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Mistral-7B</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GPT-3.5 Turbo</w:t>
            </w:r>
          </w:p>
        </w:tc>
        <w:tc>
          <w:tcPr>
            <w:tcW w:type="dxa" w:w="1440"/>
            <w:vAlign w:val="center"/>
            <w:tcMar>
              <w:top w:w="90" w:type="dxa"/>
              <w:start w:w="100" w:type="dxa"/>
              <w:bottom w:w="90" w:type="dxa"/>
              <w:end w:w="100" w:type="dxa"/>
            </w:tcMar>
            <w:shd w:fill="1F4E79"/>
          </w:tcPr>
          <w:p>
            <w:pPr>
              <w:spacing w:after="0" w:before="0"/>
              <w:jc w:val="center"/>
            </w:pPr>
            <w:r/>
            <w:r>
              <w:rPr>
                <w:rFonts w:ascii="Calibri" w:hAnsi="Calibri"/>
                <w:b/>
                <w:color w:val="FFFFFF"/>
                <w:sz w:val="14"/>
              </w:rPr>
              <w:t>Llama3.1-8B</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FT</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0.9751 (483)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0.9669 (430)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0.9658 (483)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0.9769 (480)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0.9765 (492)</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ZSL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0.0653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0.1087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0.2043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0.2632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Similarity</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0.2718 (0)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0.8792 (167)</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0.8529 (259)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0.9368 (356)</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Similarity</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3</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0.4051 (2)</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0.8304 (182)</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0.9409 (382)</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0.9667 (451)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Similarity</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5</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0.8242 (180)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0.9386 (403)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0.9709 (464)</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Similarity</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0.8052 (181)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0.9470 (409)</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0.9736 (475)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Entropy: Same_Templ</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0.2029 (0)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0.5734 (2)</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0.7765 (166)</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0.8988 (205)</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Entropy: Ran_Templ</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0.1421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0.4402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0.4711 (17)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0.7016 (26)</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Entropy: Low_Perp</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0.2788 (0)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0.6757 (1)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0.8251 (189)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Random</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0.2005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0.5659 (27)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0.5055 (28)</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0.7362 (45)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Random</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0.2187 (0)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0.5900 (31)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0.6835 (75)</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0.8259 (113)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Random</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0.6242 (51)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0.7342 (115)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0.8675 (165)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Random</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7</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0.6576 (69)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0.7799 (135)</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0.8905 (189)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Diversity Test A</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3</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0.2215 (0)</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0.7000 (43)</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0.8589 (154)</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0.9378 (315)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Diversity Test A</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5</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0.6525 (39)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0.8447 (120)</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0.9428 (328)</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Diversity Test A</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0.6729 (46)</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0.8033 (84)</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0.9375 (313)</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Diversity Test B</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3</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0.2988 (1)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0.8025 (171)</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0.9179 (368)</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0.9561 (412)</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Diversity Test B</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5</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0.8181 (201)</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0.9095 (378)</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0.9566 (417)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tcPr>
          <w:p>
            <w:pPr>
              <w:spacing w:before="0" w:after="0" w:line="240" w:lineRule="auto"/>
              <w:jc w:val="left"/>
            </w:pPr>
            <w:r/>
            <w:r>
              <w:rPr>
                <w:rFonts w:ascii="Calibri" w:hAnsi="Calibri"/>
                <w:b w:val="0"/>
                <w:sz w:val="14"/>
              </w:rPr>
              <w:t>Diversity Test B</w:t>
            </w:r>
          </w:p>
        </w:tc>
        <w:tc>
          <w:tcPr>
            <w:tcW w:type="dxa" w:w="648"/>
            <w:vAlign w:val="center"/>
            <w:tcMar>
              <w:top w:w="80" w:type="dxa"/>
              <w:start w:w="100" w:type="dxa"/>
              <w:bottom w:w="80" w:type="dxa"/>
              <w:end w:w="100" w:type="dxa"/>
            </w:tcMar>
          </w:tcPr>
          <w:p>
            <w:pPr>
              <w:spacing w:before="0" w:after="0" w:line="240" w:lineRule="auto"/>
              <w:jc w:val="center"/>
            </w:pPr>
            <w:r/>
            <w:r>
              <w:rPr>
                <w:rFonts w:ascii="Calibri" w:hAnsi="Calibri"/>
                <w:b w:val="0"/>
                <w:sz w:val="14"/>
              </w:rPr>
              <w:t>7</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0.8261 (212)</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0.9087 (389)</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0.9562 (422)</w:t>
            </w:r>
          </w:p>
        </w:tc>
        <w:tc>
          <w:tcPr>
            <w:tcW w:type="dxa" w:w="1440"/>
            <w:vAlign w:val="center"/>
            <w:tcMar>
              <w:top w:w="80" w:type="dxa"/>
              <w:start w:w="100" w:type="dxa"/>
              <w:bottom w:w="80" w:type="dxa"/>
              <w:end w:w="100" w:type="dxa"/>
            </w:tcMar>
          </w:tcPr>
          <w:p>
            <w:pPr>
              <w:spacing w:before="0" w:after="0" w:line="240" w:lineRule="auto"/>
              <w:jc w:val="center"/>
            </w:pPr>
            <w:r/>
            <w:r>
              <w:rPr>
                <w:rFonts w:ascii="Calibri" w:hAnsi="Calibri"/>
                <w:b w:val="0"/>
                <w:sz w:val="14"/>
              </w:rPr>
              <w:t>-</w:t>
            </w:r>
          </w:p>
        </w:tc>
      </w:tr>
      <w:tr>
        <w:tc>
          <w:tcPr>
            <w:tcW w:type="dxa" w:w="1037"/>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FSL</w:t>
            </w:r>
          </w:p>
        </w:tc>
        <w:tc>
          <w:tcPr>
            <w:tcW w:type="dxa" w:w="187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4"/>
              </w:rPr>
              <w:t>DPPs</w:t>
            </w:r>
          </w:p>
        </w:tc>
        <w:tc>
          <w:tcPr>
            <w:tcW w:type="dxa" w:w="64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7</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0.3912 (54)</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0.7277 (84)</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0.9452 (389)</w:t>
            </w:r>
          </w:p>
        </w:tc>
        <w:tc>
          <w:tcPr>
            <w:tcW w:type="dxa" w:w="144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4"/>
              </w:rPr>
              <w:t>-</w:t>
            </w:r>
          </w:p>
        </w:tc>
      </w:tr>
    </w:tbl>
    <w:p>
      <w:pPr>
        <w:spacing w:before="20" w:after="160"/>
        <w:jc w:val="left"/>
      </w:pPr>
      <w:r>
        <w:rPr>
          <w:b/>
          <w:sz w:val="17"/>
        </w:rPr>
        <w:t xml:space="preserve">Source: </w:t>
      </w:r>
      <w:r>
        <w:rPr>
          <w:i/>
          <w:sz w:val="17"/>
        </w:rPr>
        <w:t>Reproduced from Table 8 in Meloni et al. (2025).</w:t>
      </w:r>
    </w:p>
    <w:p>
      <w:pPr>
        <w:sectPr>
          <w:pgSz w:w="15840" w:h="12240" w:orient="landscape"/>
          <w:pgMar w:top="792" w:right="648" w:bottom="720" w:left="648" w:header="720" w:footer="720" w:gutter="0"/>
          <w:cols w:space="720"/>
          <w:docGrid w:linePitch="360"/>
        </w:sectPr>
      </w:pPr>
    </w:p>
    <w:p>
      <w:pPr>
        <w:pStyle w:val="Heading2"/>
        <w:spacing w:after="120" w:before="0"/>
      </w:pPr>
      <w:r>
        <w:rPr>
          <w:rFonts w:ascii="Calibri" w:hAnsi="Calibri"/>
          <w:b w:val="0"/>
          <w:i w:val="0"/>
        </w:rPr>
        <w:t>Main interpretation of the SciQA results</w:t>
      </w:r>
    </w:p>
    <w:p>
      <w:pPr>
        <w:pStyle w:val="ListBullet"/>
        <w:spacing w:after="60"/>
        <w:ind w:left="288"/>
      </w:pPr>
      <w:r>
        <w:rPr>
          <w:rFonts w:ascii="Calibri" w:hAnsi="Calibri"/>
          <w:sz w:val="20"/>
        </w:rPr>
        <w:t>Fine-tuned Mistral-7B-v0.1 achieves the highest SciQA F1 score (0.9769).</w:t>
      </w:r>
    </w:p>
    <w:p>
      <w:pPr>
        <w:pStyle w:val="ListBullet"/>
        <w:spacing w:after="60"/>
        <w:ind w:left="288"/>
      </w:pPr>
      <w:r>
        <w:rPr>
          <w:rFonts w:ascii="Calibri" w:hAnsi="Calibri"/>
          <w:sz w:val="20"/>
        </w:rPr>
        <w:t>Fine-tuned Llama3.1-8B achieves the highest SciQA exact-match count (492 / 513 = 95.91%).</w:t>
      </w:r>
    </w:p>
    <w:p>
      <w:pPr>
        <w:pStyle w:val="ListBullet"/>
        <w:spacing w:after="60"/>
        <w:ind w:left="288"/>
      </w:pPr>
      <w:r>
        <w:rPr>
          <w:rFonts w:ascii="Calibri" w:hAnsi="Calibri"/>
          <w:sz w:val="20"/>
        </w:rPr>
        <w:t>Fine-tuned T5-base is extremely competitive despite being much smaller than the decoder-only LLMs.</w:t>
      </w:r>
    </w:p>
    <w:p>
      <w:pPr>
        <w:pStyle w:val="ListBullet"/>
        <w:spacing w:after="60"/>
        <w:ind w:left="288"/>
      </w:pPr>
      <w:r>
        <w:rPr>
          <w:rFonts w:ascii="Calibri" w:hAnsi="Calibri"/>
          <w:sz w:val="20"/>
        </w:rPr>
        <w:t>Zero-shot performance is poor across the board: no model obtains exact matches in zero-shot mode, and the F1 values remain very low.</w:t>
      </w:r>
    </w:p>
    <w:p>
      <w:pPr>
        <w:pStyle w:val="ListBullet"/>
        <w:spacing w:after="60"/>
        <w:ind w:left="288"/>
      </w:pPr>
      <w:r>
        <w:rPr>
          <w:rFonts w:ascii="Calibri" w:hAnsi="Calibri"/>
          <w:sz w:val="20"/>
        </w:rPr>
        <w:t>Among prompting-only alternatives, the strongest result comes from GPT-3.5 Turbo with similarity-based 7-shot prompting (F1 0.9736, 475 exact matches).</w:t>
      </w:r>
    </w:p>
    <w:p>
      <w:pPr>
        <w:pStyle w:val="ListBullet"/>
        <w:spacing w:after="60"/>
        <w:ind w:left="288"/>
      </w:pPr>
      <w:r>
        <w:rPr>
          <w:rFonts w:ascii="Calibri" w:hAnsi="Calibri"/>
          <w:sz w:val="20"/>
        </w:rPr>
        <w:t>The best few-shot selection strategy is semantic similarity; random or poorly matched examples are much weaker.</w:t>
      </w:r>
    </w:p>
    <w:p>
      <w:pPr>
        <w:spacing w:after="120" w:before="0"/>
      </w:pPr>
      <w:r>
        <w:rPr>
          <w:rFonts w:ascii="Calibri" w:hAnsi="Calibri"/>
          <w:b w:val="0"/>
          <w:i w:val="0"/>
          <w:sz w:val="20"/>
        </w:rPr>
        <w:t>A central methodological lesson is that good performance does not come from 'being a large LLM' alone. The biggest improvements come from task adaptation: either direct fine-tuning on question-query pairs or carefully chosen in-context examples. This is highly relevant for the thesis because it supports evaluating both parameter-updating approaches and context-engineering approaches instead of assuming that one single strategy is enough.</w:t>
      </w:r>
    </w:p>
    <w:p>
      <w:pPr>
        <w:pStyle w:val="Heading1"/>
        <w:spacing w:after="120" w:before="0"/>
      </w:pPr>
      <w:r>
        <w:rPr>
          <w:rFonts w:ascii="Calibri" w:hAnsi="Calibri"/>
          <w:b w:val="0"/>
          <w:i w:val="0"/>
        </w:rPr>
        <w:t>Error analysis</w:t>
      </w:r>
    </w:p>
    <w:p>
      <w:pPr>
        <w:spacing w:before="160" w:after="60"/>
        <w:jc w:val="left"/>
      </w:pPr>
      <w:r>
        <w:rPr>
          <w:b/>
          <w:sz w:val="20"/>
        </w:rPr>
        <w:t xml:space="preserve">Table. </w:t>
      </w:r>
      <w:r>
        <w:rPr>
          <w:i/>
          <w:sz w:val="20"/>
        </w:rPr>
        <w:t>Error categories for the four strongest SciQA systems.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01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Error category</w:t>
            </w:r>
          </w:p>
        </w:tc>
        <w:tc>
          <w:tcPr>
            <w:tcW w:type="dxa" w:w="374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Definition</w:t>
            </w:r>
          </w:p>
        </w:tc>
        <w:tc>
          <w:tcPr>
            <w:tcW w:type="dxa" w:w="122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Mistral-7B-v0.1</w:t>
            </w:r>
          </w:p>
        </w:tc>
        <w:tc>
          <w:tcPr>
            <w:tcW w:type="dxa" w:w="108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T5</w:t>
            </w:r>
          </w:p>
        </w:tc>
        <w:tc>
          <w:tcPr>
            <w:tcW w:type="dxa" w:w="1152"/>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GPT-3.5</w:t>
            </w:r>
          </w:p>
        </w:tc>
        <w:tc>
          <w:tcPr>
            <w:tcW w:type="dxa" w:w="129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Llama3.1-8B</w:t>
            </w:r>
          </w:p>
        </w:tc>
        <w:tc>
          <w:tcPr>
            <w:tcW w:type="dxa" w:w="1008"/>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Average</w:t>
            </w:r>
          </w:p>
        </w:tc>
      </w:tr>
      <w:tr>
        <w:tc>
          <w:tcPr>
            <w:tcW w:type="dxa" w:w="2016"/>
            <w:vAlign w:val="center"/>
            <w:tcMar>
              <w:top w:w="80" w:type="dxa"/>
              <w:start w:w="100" w:type="dxa"/>
              <w:bottom w:w="80" w:type="dxa"/>
              <w:end w:w="100" w:type="dxa"/>
            </w:tcMar>
          </w:tcPr>
          <w:p>
            <w:pPr>
              <w:spacing w:before="0" w:after="0" w:line="240" w:lineRule="auto"/>
              <w:jc w:val="left"/>
            </w:pPr>
            <w:r/>
            <w:r>
              <w:rPr>
                <w:rFonts w:ascii="Calibri" w:hAnsi="Calibri"/>
                <w:b/>
                <w:sz w:val="16"/>
              </w:rPr>
              <w:t>Wrong predicate</w:t>
            </w:r>
          </w:p>
        </w:tc>
        <w:tc>
          <w:tcPr>
            <w:tcW w:type="dxa" w:w="3744"/>
            <w:vAlign w:val="center"/>
            <w:tcMar>
              <w:top w:w="80" w:type="dxa"/>
              <w:start w:w="100" w:type="dxa"/>
              <w:bottom w:w="80" w:type="dxa"/>
              <w:end w:w="100" w:type="dxa"/>
            </w:tcMar>
          </w:tcPr>
          <w:p>
            <w:pPr>
              <w:spacing w:before="0" w:after="0" w:line="240" w:lineRule="auto"/>
              <w:jc w:val="left"/>
            </w:pPr>
            <w:r/>
            <w:r>
              <w:rPr>
                <w:rFonts w:ascii="Calibri" w:hAnsi="Calibri"/>
                <w:b w:val="0"/>
                <w:sz w:val="16"/>
              </w:rPr>
              <w:t>Query uses an incorrect predicate.</w:t>
            </w:r>
          </w:p>
        </w:tc>
        <w:tc>
          <w:tcPr>
            <w:tcW w:type="dxa" w:w="1224"/>
            <w:vAlign w:val="center"/>
            <w:tcMar>
              <w:top w:w="80" w:type="dxa"/>
              <w:start w:w="100" w:type="dxa"/>
              <w:bottom w:w="80" w:type="dxa"/>
              <w:end w:w="100" w:type="dxa"/>
            </w:tcMar>
          </w:tcPr>
          <w:p>
            <w:pPr>
              <w:spacing w:before="0" w:after="0" w:line="240" w:lineRule="auto"/>
              <w:jc w:val="center"/>
            </w:pPr>
            <w:r/>
            <w:r>
              <w:rPr>
                <w:rFonts w:ascii="Calibri" w:hAnsi="Calibri"/>
                <w:b w:val="0"/>
                <w:sz w:val="16"/>
              </w:rPr>
              <w:t>57.6%</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b w:val="0"/>
                <w:sz w:val="16"/>
              </w:rPr>
              <w:t>36.6%</w:t>
            </w:r>
          </w:p>
        </w:tc>
        <w:tc>
          <w:tcPr>
            <w:tcW w:type="dxa" w:w="1152"/>
            <w:vAlign w:val="center"/>
            <w:tcMar>
              <w:top w:w="80" w:type="dxa"/>
              <w:start w:w="100" w:type="dxa"/>
              <w:bottom w:w="80" w:type="dxa"/>
              <w:end w:w="100" w:type="dxa"/>
            </w:tcMar>
          </w:tcPr>
          <w:p>
            <w:pPr>
              <w:spacing w:before="0" w:after="0" w:line="240" w:lineRule="auto"/>
              <w:jc w:val="center"/>
            </w:pPr>
            <w:r/>
            <w:r>
              <w:rPr>
                <w:rFonts w:ascii="Calibri" w:hAnsi="Calibri"/>
                <w:b w:val="0"/>
                <w:sz w:val="16"/>
              </w:rPr>
              <w:t>76.3%</w:t>
            </w:r>
          </w:p>
        </w:tc>
        <w:tc>
          <w:tcPr>
            <w:tcW w:type="dxa" w:w="1296"/>
            <w:vAlign w:val="center"/>
            <w:tcMar>
              <w:top w:w="80" w:type="dxa"/>
              <w:start w:w="100" w:type="dxa"/>
              <w:bottom w:w="80" w:type="dxa"/>
              <w:end w:w="100" w:type="dxa"/>
            </w:tcMar>
          </w:tcPr>
          <w:p>
            <w:pPr>
              <w:spacing w:before="0" w:after="0" w:line="240" w:lineRule="auto"/>
              <w:jc w:val="center"/>
            </w:pPr>
            <w:r/>
            <w:r>
              <w:rPr>
                <w:rFonts w:ascii="Calibri" w:hAnsi="Calibri"/>
                <w:b w:val="0"/>
                <w:sz w:val="16"/>
              </w:rPr>
              <w:t>85.7%</w:t>
            </w:r>
          </w:p>
        </w:tc>
        <w:tc>
          <w:tcPr>
            <w:tcW w:type="dxa" w:w="1008"/>
            <w:vAlign w:val="center"/>
            <w:tcMar>
              <w:top w:w="80" w:type="dxa"/>
              <w:start w:w="100" w:type="dxa"/>
              <w:bottom w:w="80" w:type="dxa"/>
              <w:end w:w="100" w:type="dxa"/>
            </w:tcMar>
          </w:tcPr>
          <w:p>
            <w:pPr>
              <w:spacing w:before="0" w:after="0" w:line="240" w:lineRule="auto"/>
              <w:jc w:val="center"/>
            </w:pPr>
            <w:r/>
            <w:r>
              <w:rPr>
                <w:rFonts w:ascii="Calibri" w:hAnsi="Calibri"/>
                <w:b w:val="0"/>
                <w:sz w:val="16"/>
              </w:rPr>
              <w:t>64.1%</w:t>
            </w:r>
          </w:p>
        </w:tc>
      </w:tr>
      <w:tr>
        <w:tc>
          <w:tcPr>
            <w:tcW w:type="dxa" w:w="2016"/>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Semantic error</w:t>
            </w:r>
          </w:p>
        </w:tc>
        <w:tc>
          <w:tcPr>
            <w:tcW w:type="dxa" w:w="374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Query does not reflect the meaning of the question.</w:t>
            </w:r>
          </w:p>
        </w:tc>
        <w:tc>
          <w:tcPr>
            <w:tcW w:type="dxa" w:w="1224"/>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69.7%</w:t>
            </w:r>
          </w:p>
        </w:tc>
        <w:tc>
          <w:tcPr>
            <w:tcW w:type="dxa" w:w="108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26.6%</w:t>
            </w:r>
          </w:p>
        </w:tc>
        <w:tc>
          <w:tcPr>
            <w:tcW w:type="dxa" w:w="1152"/>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57.8%</w:t>
            </w:r>
          </w:p>
        </w:tc>
        <w:tc>
          <w:tcPr>
            <w:tcW w:type="dxa" w:w="129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42.9%</w:t>
            </w:r>
          </w:p>
        </w:tc>
        <w:tc>
          <w:tcPr>
            <w:tcW w:type="dxa" w:w="100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49.3%</w:t>
            </w:r>
          </w:p>
        </w:tc>
      </w:tr>
      <w:tr>
        <w:tc>
          <w:tcPr>
            <w:tcW w:type="dxa" w:w="2016"/>
            <w:vAlign w:val="center"/>
            <w:tcMar>
              <w:top w:w="80" w:type="dxa"/>
              <w:start w:w="100" w:type="dxa"/>
              <w:bottom w:w="80" w:type="dxa"/>
              <w:end w:w="100" w:type="dxa"/>
            </w:tcMar>
          </w:tcPr>
          <w:p>
            <w:pPr>
              <w:spacing w:before="0" w:after="0" w:line="240" w:lineRule="auto"/>
              <w:jc w:val="left"/>
            </w:pPr>
            <w:r/>
            <w:r>
              <w:rPr>
                <w:rFonts w:ascii="Calibri" w:hAnsi="Calibri"/>
                <w:b/>
                <w:sz w:val="16"/>
              </w:rPr>
              <w:t>Misspelled entity</w:t>
            </w:r>
          </w:p>
        </w:tc>
        <w:tc>
          <w:tcPr>
            <w:tcW w:type="dxa" w:w="3744"/>
            <w:vAlign w:val="center"/>
            <w:tcMar>
              <w:top w:w="80" w:type="dxa"/>
              <w:start w:w="100" w:type="dxa"/>
              <w:bottom w:w="80" w:type="dxa"/>
              <w:end w:w="100" w:type="dxa"/>
            </w:tcMar>
          </w:tcPr>
          <w:p>
            <w:pPr>
              <w:spacing w:before="0" w:after="0" w:line="240" w:lineRule="auto"/>
              <w:jc w:val="left"/>
            </w:pPr>
            <w:r/>
            <w:r>
              <w:rPr>
                <w:rFonts w:ascii="Calibri" w:hAnsi="Calibri"/>
                <w:b w:val="0"/>
                <w:sz w:val="16"/>
              </w:rPr>
              <w:t>Query misspells an entity name.</w:t>
            </w:r>
          </w:p>
        </w:tc>
        <w:tc>
          <w:tcPr>
            <w:tcW w:type="dxa" w:w="1224"/>
            <w:vAlign w:val="center"/>
            <w:tcMar>
              <w:top w:w="80" w:type="dxa"/>
              <w:start w:w="100" w:type="dxa"/>
              <w:bottom w:w="80" w:type="dxa"/>
              <w:end w:w="100" w:type="dxa"/>
            </w:tcMar>
          </w:tcPr>
          <w:p>
            <w:pPr>
              <w:spacing w:before="0" w:after="0" w:line="240" w:lineRule="auto"/>
              <w:jc w:val="center"/>
            </w:pPr>
            <w:r/>
            <w:r>
              <w:rPr>
                <w:rFonts w:ascii="Calibri" w:hAnsi="Calibri"/>
                <w:b w:val="0"/>
                <w:sz w:val="16"/>
              </w:rPr>
              <w:t>33.3%</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b w:val="0"/>
                <w:sz w:val="16"/>
              </w:rPr>
              <w:t>60.0%</w:t>
            </w:r>
          </w:p>
        </w:tc>
        <w:tc>
          <w:tcPr>
            <w:tcW w:type="dxa" w:w="1152"/>
            <w:vAlign w:val="center"/>
            <w:tcMar>
              <w:top w:w="80" w:type="dxa"/>
              <w:start w:w="100" w:type="dxa"/>
              <w:bottom w:w="80" w:type="dxa"/>
              <w:end w:w="100" w:type="dxa"/>
            </w:tcMar>
          </w:tcPr>
          <w:p>
            <w:pPr>
              <w:spacing w:before="0" w:after="0" w:line="240" w:lineRule="auto"/>
              <w:jc w:val="center"/>
            </w:pPr>
            <w:r/>
            <w:r>
              <w:rPr>
                <w:rFonts w:ascii="Calibri" w:hAnsi="Calibri"/>
                <w:b w:val="0"/>
                <w:sz w:val="16"/>
              </w:rPr>
              <w:t>60.5%</w:t>
            </w:r>
          </w:p>
        </w:tc>
        <w:tc>
          <w:tcPr>
            <w:tcW w:type="dxa" w:w="1296"/>
            <w:vAlign w:val="center"/>
            <w:tcMar>
              <w:top w:w="80" w:type="dxa"/>
              <w:start w:w="100" w:type="dxa"/>
              <w:bottom w:w="80" w:type="dxa"/>
              <w:end w:w="100" w:type="dxa"/>
            </w:tcMar>
          </w:tcPr>
          <w:p>
            <w:pPr>
              <w:spacing w:before="0" w:after="0" w:line="240" w:lineRule="auto"/>
              <w:jc w:val="center"/>
            </w:pPr>
            <w:r/>
            <w:r>
              <w:rPr>
                <w:rFonts w:ascii="Calibri" w:hAnsi="Calibri"/>
                <w:b w:val="0"/>
                <w:sz w:val="16"/>
              </w:rPr>
              <w:t>42.9%</w:t>
            </w:r>
          </w:p>
        </w:tc>
        <w:tc>
          <w:tcPr>
            <w:tcW w:type="dxa" w:w="1008"/>
            <w:vAlign w:val="center"/>
            <w:tcMar>
              <w:top w:w="80" w:type="dxa"/>
              <w:start w:w="100" w:type="dxa"/>
              <w:bottom w:w="80" w:type="dxa"/>
              <w:end w:w="100" w:type="dxa"/>
            </w:tcMar>
          </w:tcPr>
          <w:p>
            <w:pPr>
              <w:spacing w:before="0" w:after="0" w:line="240" w:lineRule="auto"/>
              <w:jc w:val="center"/>
            </w:pPr>
            <w:r/>
            <w:r>
              <w:rPr>
                <w:rFonts w:ascii="Calibri" w:hAnsi="Calibri"/>
                <w:b w:val="0"/>
                <w:sz w:val="16"/>
              </w:rPr>
              <w:t>49.2%</w:t>
            </w:r>
          </w:p>
        </w:tc>
      </w:tr>
      <w:tr>
        <w:tc>
          <w:tcPr>
            <w:tcW w:type="dxa" w:w="2016"/>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Wrong entity type</w:t>
            </w:r>
          </w:p>
        </w:tc>
        <w:tc>
          <w:tcPr>
            <w:tcW w:type="dxa" w:w="374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6"/>
              </w:rPr>
              <w:t>Query uses an entity of a different type.</w:t>
            </w:r>
          </w:p>
        </w:tc>
        <w:tc>
          <w:tcPr>
            <w:tcW w:type="dxa" w:w="1224"/>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15.2%</w:t>
            </w:r>
          </w:p>
        </w:tc>
        <w:tc>
          <w:tcPr>
            <w:tcW w:type="dxa" w:w="108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36.6%</w:t>
            </w:r>
          </w:p>
        </w:tc>
        <w:tc>
          <w:tcPr>
            <w:tcW w:type="dxa" w:w="1152"/>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52.6%</w:t>
            </w:r>
          </w:p>
        </w:tc>
        <w:tc>
          <w:tcPr>
            <w:tcW w:type="dxa" w:w="129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90.5%</w:t>
            </w:r>
          </w:p>
        </w:tc>
        <w:tc>
          <w:tcPr>
            <w:tcW w:type="dxa" w:w="100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49.6%</w:t>
            </w:r>
          </w:p>
        </w:tc>
      </w:tr>
      <w:tr>
        <w:tc>
          <w:tcPr>
            <w:tcW w:type="dxa" w:w="2016"/>
            <w:vAlign w:val="center"/>
            <w:tcMar>
              <w:top w:w="80" w:type="dxa"/>
              <w:start w:w="100" w:type="dxa"/>
              <w:bottom w:w="80" w:type="dxa"/>
              <w:end w:w="100" w:type="dxa"/>
            </w:tcMar>
          </w:tcPr>
          <w:p>
            <w:pPr>
              <w:spacing w:before="0" w:after="0" w:line="240" w:lineRule="auto"/>
              <w:jc w:val="left"/>
            </w:pPr>
            <w:r/>
            <w:r>
              <w:rPr>
                <w:rFonts w:ascii="Calibri" w:hAnsi="Calibri"/>
                <w:b/>
                <w:sz w:val="16"/>
              </w:rPr>
              <w:t>SPARQL syntactic error</w:t>
            </w:r>
          </w:p>
        </w:tc>
        <w:tc>
          <w:tcPr>
            <w:tcW w:type="dxa" w:w="3744"/>
            <w:vAlign w:val="center"/>
            <w:tcMar>
              <w:top w:w="80" w:type="dxa"/>
              <w:start w:w="100" w:type="dxa"/>
              <w:bottom w:w="80" w:type="dxa"/>
              <w:end w:w="100" w:type="dxa"/>
            </w:tcMar>
          </w:tcPr>
          <w:p>
            <w:pPr>
              <w:spacing w:before="0" w:after="0" w:line="240" w:lineRule="auto"/>
              <w:jc w:val="left"/>
            </w:pPr>
            <w:r/>
            <w:r>
              <w:rPr>
                <w:rFonts w:ascii="Calibri" w:hAnsi="Calibri"/>
                <w:b w:val="0"/>
                <w:sz w:val="16"/>
              </w:rPr>
              <w:t>Query cannot be syntactically parsed by a SPARQL compiler.</w:t>
            </w:r>
          </w:p>
        </w:tc>
        <w:tc>
          <w:tcPr>
            <w:tcW w:type="dxa" w:w="1224"/>
            <w:vAlign w:val="center"/>
            <w:tcMar>
              <w:top w:w="80" w:type="dxa"/>
              <w:start w:w="100" w:type="dxa"/>
              <w:bottom w:w="80" w:type="dxa"/>
              <w:end w:w="100" w:type="dxa"/>
            </w:tcMar>
          </w:tcPr>
          <w:p>
            <w:pPr>
              <w:spacing w:before="0" w:after="0" w:line="240" w:lineRule="auto"/>
              <w:jc w:val="center"/>
            </w:pPr>
            <w:r/>
            <w:r>
              <w:rPr>
                <w:rFonts w:ascii="Calibri" w:hAnsi="Calibri"/>
                <w:b w:val="0"/>
                <w:sz w:val="16"/>
              </w:rPr>
              <w:t>6.1%</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b w:val="0"/>
                <w:sz w:val="16"/>
              </w:rPr>
              <w:t>40.0%</w:t>
            </w:r>
          </w:p>
        </w:tc>
        <w:tc>
          <w:tcPr>
            <w:tcW w:type="dxa" w:w="1152"/>
            <w:vAlign w:val="center"/>
            <w:tcMar>
              <w:top w:w="80" w:type="dxa"/>
              <w:start w:w="100" w:type="dxa"/>
              <w:bottom w:w="80" w:type="dxa"/>
              <w:end w:w="100" w:type="dxa"/>
            </w:tcMar>
          </w:tcPr>
          <w:p>
            <w:pPr>
              <w:spacing w:before="0" w:after="0" w:line="240" w:lineRule="auto"/>
              <w:jc w:val="center"/>
            </w:pPr>
            <w:r/>
            <w:r>
              <w:rPr>
                <w:rFonts w:ascii="Calibri" w:hAnsi="Calibri"/>
                <w:b w:val="0"/>
                <w:sz w:val="16"/>
              </w:rPr>
              <w:t>5.2%</w:t>
            </w:r>
          </w:p>
        </w:tc>
        <w:tc>
          <w:tcPr>
            <w:tcW w:type="dxa" w:w="1296"/>
            <w:vAlign w:val="center"/>
            <w:tcMar>
              <w:top w:w="80" w:type="dxa"/>
              <w:start w:w="100" w:type="dxa"/>
              <w:bottom w:w="80" w:type="dxa"/>
              <w:end w:w="100" w:type="dxa"/>
            </w:tcMar>
          </w:tcPr>
          <w:p>
            <w:pPr>
              <w:spacing w:before="0" w:after="0" w:line="240" w:lineRule="auto"/>
              <w:jc w:val="center"/>
            </w:pPr>
            <w:r/>
            <w:r>
              <w:rPr>
                <w:rFonts w:ascii="Calibri" w:hAnsi="Calibri"/>
                <w:b w:val="0"/>
                <w:sz w:val="16"/>
              </w:rPr>
              <w:t>9.5%</w:t>
            </w:r>
          </w:p>
        </w:tc>
        <w:tc>
          <w:tcPr>
            <w:tcW w:type="dxa" w:w="1008"/>
            <w:vAlign w:val="center"/>
            <w:tcMar>
              <w:top w:w="80" w:type="dxa"/>
              <w:start w:w="100" w:type="dxa"/>
              <w:bottom w:w="80" w:type="dxa"/>
              <w:end w:w="100" w:type="dxa"/>
            </w:tcMar>
          </w:tcPr>
          <w:p>
            <w:pPr>
              <w:spacing w:before="0" w:after="0" w:line="240" w:lineRule="auto"/>
              <w:jc w:val="center"/>
            </w:pPr>
            <w:r/>
            <w:r>
              <w:rPr>
                <w:rFonts w:ascii="Calibri" w:hAnsi="Calibri"/>
                <w:b w:val="0"/>
                <w:sz w:val="16"/>
              </w:rPr>
              <w:t>15.2%</w:t>
            </w:r>
          </w:p>
        </w:tc>
      </w:tr>
    </w:tbl>
    <w:p>
      <w:pPr>
        <w:spacing w:before="20" w:after="160"/>
        <w:jc w:val="left"/>
      </w:pPr>
      <w:r>
        <w:rPr>
          <w:b/>
          <w:sz w:val="17"/>
        </w:rPr>
        <w:t xml:space="preserve">Source: </w:t>
      </w:r>
      <w:r>
        <w:rPr>
          <w:i/>
          <w:sz w:val="17"/>
        </w:rPr>
        <w:t>Reproduced from Table 9 in Meloni et al. (2025).</w:t>
      </w:r>
    </w:p>
    <w:p>
      <w:pPr>
        <w:pStyle w:val="Heading2"/>
        <w:spacing w:after="120" w:before="0"/>
      </w:pPr>
      <w:r>
        <w:rPr>
          <w:rFonts w:ascii="Calibri" w:hAnsi="Calibri"/>
          <w:b w:val="0"/>
          <w:i w:val="0"/>
        </w:rPr>
        <w:t>What the error analysis means</w:t>
      </w:r>
    </w:p>
    <w:p>
      <w:pPr>
        <w:pStyle w:val="ListBullet"/>
        <w:spacing w:after="60"/>
        <w:ind w:left="288"/>
      </w:pPr>
      <w:r>
        <w:rPr>
          <w:rFonts w:ascii="Calibri" w:hAnsi="Calibri"/>
          <w:sz w:val="20"/>
        </w:rPr>
        <w:t>Wrong predicates are the most pervasive issue overall. T5 is least affected, while Llama3.1-8B and GPT-3.5 are affected the most.</w:t>
      </w:r>
    </w:p>
    <w:p>
      <w:pPr>
        <w:pStyle w:val="ListBullet"/>
        <w:spacing w:after="60"/>
        <w:ind w:left="288"/>
      </w:pPr>
      <w:r>
        <w:rPr>
          <w:rFonts w:ascii="Calibri" w:hAnsi="Calibri"/>
          <w:sz w:val="20"/>
        </w:rPr>
        <w:t>Mistral-7B-v0.1 is best at avoiding wrong entity types and misspelled entities, suggesting better schema-level control.</w:t>
      </w:r>
    </w:p>
    <w:p>
      <w:pPr>
        <w:pStyle w:val="ListBullet"/>
        <w:spacing w:after="60"/>
        <w:ind w:left="288"/>
      </w:pPr>
      <w:r>
        <w:rPr>
          <w:rFonts w:ascii="Calibri" w:hAnsi="Calibri"/>
          <w:sz w:val="20"/>
        </w:rPr>
        <w:t>T5 is strongest on semantic understanding but comparatively weaker on SPARQL syntax.</w:t>
      </w:r>
    </w:p>
    <w:p>
      <w:pPr>
        <w:pStyle w:val="ListBullet"/>
        <w:spacing w:after="60"/>
        <w:ind w:left="288"/>
      </w:pPr>
      <w:r>
        <w:rPr>
          <w:rFonts w:ascii="Calibri" w:hAnsi="Calibri"/>
          <w:sz w:val="20"/>
        </w:rPr>
        <w:t>The authors conclude that T5, GPT-3.5, and Llama3.1-8B struggle more with the underlying ontology, while Mistral shows more semantic misunderstanding of the question itself.</w:t>
      </w:r>
    </w:p>
    <w:p>
      <w:pPr>
        <w:spacing w:after="120" w:before="0"/>
      </w:pPr>
      <w:r>
        <w:rPr>
          <w:rFonts w:ascii="Calibri" w:hAnsi="Calibri"/>
          <w:b w:val="0"/>
          <w:i w:val="0"/>
          <w:sz w:val="20"/>
        </w:rPr>
        <w:t>For a thesis discussion chapter, this table is especially valuable because it shows that evaluation should not stop at aggregate scores. Different models fail for different reasons, and those reasons matter if the final goal is robust ORKG query generation rather than only good benchmark averages.</w:t>
      </w:r>
    </w:p>
    <w:p>
      <w:pPr>
        <w:sectPr>
          <w:pgSz w:w="12240" w:h="15840"/>
          <w:pgMar w:top="1008" w:right="1080" w:bottom="864" w:left="1080" w:header="720" w:footer="720" w:gutter="0"/>
          <w:cols w:space="720"/>
          <w:docGrid w:linePitch="360"/>
        </w:sectPr>
      </w:pPr>
    </w:p>
    <w:p>
      <w:pPr>
        <w:pStyle w:val="Heading1"/>
        <w:spacing w:after="120" w:before="0"/>
      </w:pPr>
      <w:r>
        <w:rPr>
          <w:rFonts w:ascii="Calibri" w:hAnsi="Calibri"/>
          <w:b w:val="0"/>
          <w:i w:val="0"/>
        </w:rPr>
        <w:t>Additional experiments on DBLP-QuAD</w:t>
      </w:r>
    </w:p>
    <w:p>
      <w:pPr>
        <w:spacing w:after="120" w:before="0"/>
      </w:pPr>
      <w:r>
        <w:rPr>
          <w:rFonts w:ascii="Calibri" w:hAnsi="Calibri"/>
          <w:b w:val="0"/>
          <w:i w:val="0"/>
          <w:sz w:val="20"/>
        </w:rPr>
        <w:t>DBLP-QuAD differs from SciQA in a crucial way: it provides the relevant entities and relations as part of the input. This lets the paper measure how much performance improves when schema and entity information are made explicit.</w:t>
      </w:r>
    </w:p>
    <w:p>
      <w:pPr>
        <w:spacing w:before="160" w:after="60"/>
        <w:jc w:val="left"/>
      </w:pPr>
      <w:r>
        <w:rPr>
          <w:b/>
          <w:sz w:val="20"/>
        </w:rPr>
        <w:t xml:space="preserve">Table. </w:t>
      </w:r>
      <w:r>
        <w:rPr>
          <w:i/>
          <w:sz w:val="20"/>
        </w:rPr>
        <w:t>DBLP-QuAD metrics for the strongest systems.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230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Metric</w:t>
            </w:r>
          </w:p>
        </w:tc>
        <w:tc>
          <w:tcPr>
            <w:tcW w:type="dxa" w:w="180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T5-base</w:t>
            </w:r>
          </w:p>
        </w:tc>
        <w:tc>
          <w:tcPr>
            <w:tcW w:type="dxa" w:w="216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Mistral-7B-v0.1</w:t>
            </w:r>
          </w:p>
        </w:tc>
        <w:tc>
          <w:tcPr>
            <w:tcW w:type="dxa" w:w="1800"/>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GPT-3.5 Turbo</w:t>
            </w:r>
          </w:p>
        </w:tc>
        <w:tc>
          <w:tcPr>
            <w:tcW w:type="dxa" w:w="2088"/>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Llama3.1-8B</w:t>
            </w:r>
          </w:p>
        </w:tc>
      </w:tr>
      <w:tr>
        <w:tc>
          <w:tcPr>
            <w:tcW w:type="dxa" w:w="2304"/>
            <w:vAlign w:val="center"/>
            <w:tcMar>
              <w:top w:w="80" w:type="dxa"/>
              <w:start w:w="100" w:type="dxa"/>
              <w:bottom w:w="80" w:type="dxa"/>
              <w:end w:w="100" w:type="dxa"/>
            </w:tcMar>
          </w:tcPr>
          <w:p>
            <w:pPr>
              <w:spacing w:before="0" w:after="0" w:line="240" w:lineRule="auto"/>
              <w:jc w:val="left"/>
            </w:pPr>
            <w:r/>
            <w:r>
              <w:rPr>
                <w:rFonts w:ascii="Calibri" w:hAnsi="Calibri"/>
                <w:b/>
                <w:sz w:val="16"/>
              </w:rPr>
              <w:t>Precision</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0.9774</w:t>
            </w:r>
          </w:p>
        </w:tc>
        <w:tc>
          <w:tcPr>
            <w:tcW w:type="dxa" w:w="2160"/>
            <w:vAlign w:val="center"/>
            <w:tcMar>
              <w:top w:w="80" w:type="dxa"/>
              <w:start w:w="100" w:type="dxa"/>
              <w:bottom w:w="80" w:type="dxa"/>
              <w:end w:w="100" w:type="dxa"/>
            </w:tcMar>
          </w:tcPr>
          <w:p>
            <w:pPr>
              <w:spacing w:before="0" w:after="0" w:line="240" w:lineRule="auto"/>
              <w:jc w:val="center"/>
            </w:pPr>
            <w:r/>
            <w:r>
              <w:rPr>
                <w:rFonts w:ascii="Calibri" w:hAnsi="Calibri"/>
                <w:b w:val="0"/>
                <w:sz w:val="16"/>
              </w:rPr>
              <w:t>0.9873</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0.9567</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0.9907</w:t>
            </w:r>
          </w:p>
        </w:tc>
      </w:tr>
      <w:tr>
        <w:tc>
          <w:tcPr>
            <w:tcW w:type="dxa" w:w="230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Recall</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0.9793</w:t>
            </w:r>
          </w:p>
        </w:tc>
        <w:tc>
          <w:tcPr>
            <w:tcW w:type="dxa" w:w="216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0.9820</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0.9519</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0.9897</w:t>
            </w:r>
          </w:p>
        </w:tc>
      </w:tr>
      <w:tr>
        <w:tc>
          <w:tcPr>
            <w:tcW w:type="dxa" w:w="2304"/>
            <w:vAlign w:val="center"/>
            <w:tcMar>
              <w:top w:w="80" w:type="dxa"/>
              <w:start w:w="100" w:type="dxa"/>
              <w:bottom w:w="80" w:type="dxa"/>
              <w:end w:w="100" w:type="dxa"/>
            </w:tcMar>
          </w:tcPr>
          <w:p>
            <w:pPr>
              <w:spacing w:before="0" w:after="0" w:line="240" w:lineRule="auto"/>
              <w:jc w:val="left"/>
            </w:pPr>
            <w:r/>
            <w:r>
              <w:rPr>
                <w:rFonts w:ascii="Calibri" w:hAnsi="Calibri"/>
                <w:b/>
                <w:sz w:val="16"/>
              </w:rPr>
              <w:t>F1 score</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0.9746</w:t>
            </w:r>
          </w:p>
        </w:tc>
        <w:tc>
          <w:tcPr>
            <w:tcW w:type="dxa" w:w="2160"/>
            <w:vAlign w:val="center"/>
            <w:tcMar>
              <w:top w:w="80" w:type="dxa"/>
              <w:start w:w="100" w:type="dxa"/>
              <w:bottom w:w="80" w:type="dxa"/>
              <w:end w:w="100" w:type="dxa"/>
            </w:tcMar>
          </w:tcPr>
          <w:p>
            <w:pPr>
              <w:spacing w:before="0" w:after="0" w:line="240" w:lineRule="auto"/>
              <w:jc w:val="center"/>
            </w:pPr>
            <w:r/>
            <w:r>
              <w:rPr>
                <w:rFonts w:ascii="Calibri" w:hAnsi="Calibri"/>
                <w:b w:val="0"/>
                <w:sz w:val="16"/>
              </w:rPr>
              <w:t>0.9820</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0.9473</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0.9885</w:t>
            </w:r>
          </w:p>
        </w:tc>
      </w:tr>
      <w:tr>
        <w:tc>
          <w:tcPr>
            <w:tcW w:type="dxa" w:w="230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BLEU-4</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0.9479</w:t>
            </w:r>
          </w:p>
        </w:tc>
        <w:tc>
          <w:tcPr>
            <w:tcW w:type="dxa" w:w="216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0.9607</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0.8837</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0.9744</w:t>
            </w:r>
          </w:p>
        </w:tc>
      </w:tr>
      <w:tr>
        <w:tc>
          <w:tcPr>
            <w:tcW w:type="dxa" w:w="2304"/>
            <w:vAlign w:val="center"/>
            <w:tcMar>
              <w:top w:w="80" w:type="dxa"/>
              <w:start w:w="100" w:type="dxa"/>
              <w:bottom w:w="80" w:type="dxa"/>
              <w:end w:w="100" w:type="dxa"/>
            </w:tcMar>
          </w:tcPr>
          <w:p>
            <w:pPr>
              <w:spacing w:before="0" w:after="0" w:line="240" w:lineRule="auto"/>
              <w:jc w:val="left"/>
            </w:pPr>
            <w:r/>
            <w:r>
              <w:rPr>
                <w:rFonts w:ascii="Calibri" w:hAnsi="Calibri"/>
                <w:b/>
                <w:sz w:val="16"/>
              </w:rPr>
              <w:t>BLEU cumulative</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0.9530</w:t>
            </w:r>
          </w:p>
        </w:tc>
        <w:tc>
          <w:tcPr>
            <w:tcW w:type="dxa" w:w="2160"/>
            <w:vAlign w:val="center"/>
            <w:tcMar>
              <w:top w:w="80" w:type="dxa"/>
              <w:start w:w="100" w:type="dxa"/>
              <w:bottom w:w="80" w:type="dxa"/>
              <w:end w:w="100" w:type="dxa"/>
            </w:tcMar>
          </w:tcPr>
          <w:p>
            <w:pPr>
              <w:spacing w:before="0" w:after="0" w:line="240" w:lineRule="auto"/>
              <w:jc w:val="center"/>
            </w:pPr>
            <w:r/>
            <w:r>
              <w:rPr>
                <w:rFonts w:ascii="Calibri" w:hAnsi="Calibri"/>
                <w:b w:val="0"/>
                <w:sz w:val="16"/>
              </w:rPr>
              <w:t>0.9646</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0.8996</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0.9774</w:t>
            </w:r>
          </w:p>
        </w:tc>
      </w:tr>
      <w:tr>
        <w:tc>
          <w:tcPr>
            <w:tcW w:type="dxa" w:w="230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ROUGE-1</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0.9884</w:t>
            </w:r>
          </w:p>
        </w:tc>
        <w:tc>
          <w:tcPr>
            <w:tcW w:type="dxa" w:w="216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0.9894</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0.9733</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0.9920</w:t>
            </w:r>
          </w:p>
        </w:tc>
      </w:tr>
      <w:tr>
        <w:tc>
          <w:tcPr>
            <w:tcW w:type="dxa" w:w="2304"/>
            <w:vAlign w:val="center"/>
            <w:tcMar>
              <w:top w:w="80" w:type="dxa"/>
              <w:start w:w="100" w:type="dxa"/>
              <w:bottom w:w="80" w:type="dxa"/>
              <w:end w:w="100" w:type="dxa"/>
            </w:tcMar>
          </w:tcPr>
          <w:p>
            <w:pPr>
              <w:spacing w:before="0" w:after="0" w:line="240" w:lineRule="auto"/>
              <w:jc w:val="left"/>
            </w:pPr>
            <w:r/>
            <w:r>
              <w:rPr>
                <w:rFonts w:ascii="Calibri" w:hAnsi="Calibri"/>
                <w:b/>
                <w:sz w:val="16"/>
              </w:rPr>
              <w:t>ROUGE-2</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0.9786</w:t>
            </w:r>
          </w:p>
        </w:tc>
        <w:tc>
          <w:tcPr>
            <w:tcW w:type="dxa" w:w="2160"/>
            <w:vAlign w:val="center"/>
            <w:tcMar>
              <w:top w:w="80" w:type="dxa"/>
              <w:start w:w="100" w:type="dxa"/>
              <w:bottom w:w="80" w:type="dxa"/>
              <w:end w:w="100" w:type="dxa"/>
            </w:tcMar>
          </w:tcPr>
          <w:p>
            <w:pPr>
              <w:spacing w:before="0" w:after="0" w:line="240" w:lineRule="auto"/>
              <w:jc w:val="center"/>
            </w:pPr>
            <w:r/>
            <w:r>
              <w:rPr>
                <w:rFonts w:ascii="Calibri" w:hAnsi="Calibri"/>
                <w:b w:val="0"/>
                <w:sz w:val="16"/>
              </w:rPr>
              <w:t>0.97887</w:t>
            </w:r>
          </w:p>
        </w:tc>
        <w:tc>
          <w:tcPr>
            <w:tcW w:type="dxa" w:w="1800"/>
            <w:vAlign w:val="center"/>
            <w:tcMar>
              <w:top w:w="80" w:type="dxa"/>
              <w:start w:w="100" w:type="dxa"/>
              <w:bottom w:w="80" w:type="dxa"/>
              <w:end w:w="100" w:type="dxa"/>
            </w:tcMar>
          </w:tcPr>
          <w:p>
            <w:pPr>
              <w:spacing w:before="0" w:after="0" w:line="240" w:lineRule="auto"/>
              <w:jc w:val="center"/>
            </w:pPr>
            <w:r/>
            <w:r>
              <w:rPr>
                <w:rFonts w:ascii="Calibri" w:hAnsi="Calibri"/>
                <w:b w:val="0"/>
                <w:sz w:val="16"/>
              </w:rPr>
              <w:t>0.9410</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0.9846</w:t>
            </w:r>
          </w:p>
        </w:tc>
      </w:tr>
      <w:tr>
        <w:tc>
          <w:tcPr>
            <w:tcW w:type="dxa" w:w="2304"/>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Exact matches</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1,693</w:t>
            </w:r>
          </w:p>
        </w:tc>
        <w:tc>
          <w:tcPr>
            <w:tcW w:type="dxa" w:w="216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1,756</w:t>
            </w:r>
          </w:p>
        </w:tc>
        <w:tc>
          <w:tcPr>
            <w:tcW w:type="dxa" w:w="1800"/>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1,364</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1,819</w:t>
            </w:r>
          </w:p>
        </w:tc>
      </w:tr>
    </w:tbl>
    <w:p>
      <w:pPr>
        <w:spacing w:before="20" w:after="160"/>
        <w:jc w:val="left"/>
      </w:pPr>
      <w:r>
        <w:rPr>
          <w:b/>
          <w:sz w:val="17"/>
        </w:rPr>
        <w:t xml:space="preserve">Source: </w:t>
      </w:r>
      <w:r>
        <w:rPr>
          <w:i/>
          <w:sz w:val="17"/>
        </w:rPr>
        <w:t>Reproduced from Table 10 in Meloni et al. (2025).</w:t>
      </w:r>
    </w:p>
    <w:p>
      <w:pPr>
        <w:spacing w:before="160" w:after="60"/>
        <w:jc w:val="left"/>
      </w:pPr>
      <w:r>
        <w:rPr>
          <w:b/>
          <w:sz w:val="20"/>
        </w:rPr>
        <w:t xml:space="preserve">Table. </w:t>
      </w:r>
      <w:r>
        <w:rPr>
          <w:i/>
          <w:sz w:val="20"/>
        </w:rPr>
        <w:t>Execution-based evaluation on DBLP-QuAD.</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2952"/>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Metric</w:t>
            </w:r>
          </w:p>
        </w:tc>
        <w:tc>
          <w:tcPr>
            <w:tcW w:type="dxa" w:w="165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T5-base</w:t>
            </w:r>
          </w:p>
        </w:tc>
        <w:tc>
          <w:tcPr>
            <w:tcW w:type="dxa" w:w="2088"/>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Mistral-7B-v0.1</w:t>
            </w:r>
          </w:p>
        </w:tc>
        <w:tc>
          <w:tcPr>
            <w:tcW w:type="dxa" w:w="1656"/>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GPT-3.5 Turbo</w:t>
            </w:r>
          </w:p>
        </w:tc>
        <w:tc>
          <w:tcPr>
            <w:tcW w:type="dxa" w:w="1944"/>
            <w:vAlign w:val="center"/>
            <w:tcMar>
              <w:top w:w="90" w:type="dxa"/>
              <w:start w:w="100" w:type="dxa"/>
              <w:bottom w:w="90" w:type="dxa"/>
              <w:end w:w="100" w:type="dxa"/>
            </w:tcMar>
            <w:shd w:fill="1F4E79"/>
          </w:tcPr>
          <w:p>
            <w:pPr>
              <w:spacing w:after="0" w:before="0"/>
              <w:jc w:val="center"/>
            </w:pPr>
            <w:r/>
            <w:r>
              <w:rPr>
                <w:rFonts w:ascii="Calibri" w:hAnsi="Calibri"/>
                <w:b/>
                <w:color w:val="FFFFFF"/>
                <w:sz w:val="16"/>
              </w:rPr>
              <w:t>Llama3.1-8B</w:t>
            </w:r>
          </w:p>
        </w:tc>
      </w:tr>
      <w:tr>
        <w:tc>
          <w:tcPr>
            <w:tcW w:type="dxa" w:w="2952"/>
            <w:vAlign w:val="center"/>
            <w:tcMar>
              <w:top w:w="80" w:type="dxa"/>
              <w:start w:w="100" w:type="dxa"/>
              <w:bottom w:w="80" w:type="dxa"/>
              <w:end w:w="100" w:type="dxa"/>
            </w:tcMar>
          </w:tcPr>
          <w:p>
            <w:pPr>
              <w:spacing w:before="0" w:after="0" w:line="240" w:lineRule="auto"/>
              <w:jc w:val="left"/>
            </w:pPr>
            <w:r/>
            <w:r>
              <w:rPr>
                <w:rFonts w:ascii="Calibri" w:hAnsi="Calibri"/>
                <w:b/>
                <w:sz w:val="16"/>
              </w:rPr>
              <w:t>Exact matches</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1,693</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1,756</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1,364</w:t>
            </w:r>
          </w:p>
        </w:tc>
        <w:tc>
          <w:tcPr>
            <w:tcW w:type="dxa" w:w="1944"/>
            <w:vAlign w:val="center"/>
            <w:tcMar>
              <w:top w:w="80" w:type="dxa"/>
              <w:start w:w="100" w:type="dxa"/>
              <w:bottom w:w="80" w:type="dxa"/>
              <w:end w:w="100" w:type="dxa"/>
            </w:tcMar>
          </w:tcPr>
          <w:p>
            <w:pPr>
              <w:spacing w:before="0" w:after="0" w:line="240" w:lineRule="auto"/>
              <w:jc w:val="center"/>
            </w:pPr>
            <w:r/>
            <w:r>
              <w:rPr>
                <w:rFonts w:ascii="Calibri" w:hAnsi="Calibri"/>
                <w:b w:val="0"/>
                <w:sz w:val="16"/>
              </w:rPr>
              <w:t>1,819</w:t>
            </w:r>
          </w:p>
        </w:tc>
      </w:tr>
      <w:tr>
        <w:tc>
          <w:tcPr>
            <w:tcW w:type="dxa" w:w="2952"/>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Non-exact, correct, non-empty</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75</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0</w:t>
            </w:r>
          </w:p>
        </w:tc>
        <w:tc>
          <w:tcPr>
            <w:tcW w:type="dxa" w:w="1944"/>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43</w:t>
            </w:r>
          </w:p>
        </w:tc>
      </w:tr>
      <w:tr>
        <w:tc>
          <w:tcPr>
            <w:tcW w:type="dxa" w:w="2952"/>
            <w:vAlign w:val="center"/>
            <w:tcMar>
              <w:top w:w="80" w:type="dxa"/>
              <w:start w:w="100" w:type="dxa"/>
              <w:bottom w:w="80" w:type="dxa"/>
              <w:end w:w="100" w:type="dxa"/>
            </w:tcMar>
          </w:tcPr>
          <w:p>
            <w:pPr>
              <w:spacing w:before="0" w:after="0" w:line="240" w:lineRule="auto"/>
              <w:jc w:val="left"/>
            </w:pPr>
            <w:r/>
            <w:r>
              <w:rPr>
                <w:rFonts w:ascii="Calibri" w:hAnsi="Calibri"/>
                <w:b/>
                <w:sz w:val="16"/>
              </w:rPr>
              <w:t>Non-exact, correct, empty</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0</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8</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0</w:t>
            </w:r>
          </w:p>
        </w:tc>
        <w:tc>
          <w:tcPr>
            <w:tcW w:type="dxa" w:w="1944"/>
            <w:vAlign w:val="center"/>
            <w:tcMar>
              <w:top w:w="80" w:type="dxa"/>
              <w:start w:w="100" w:type="dxa"/>
              <w:bottom w:w="80" w:type="dxa"/>
              <w:end w:w="100" w:type="dxa"/>
            </w:tcMar>
          </w:tcPr>
          <w:p>
            <w:pPr>
              <w:spacing w:before="0" w:after="0" w:line="240" w:lineRule="auto"/>
              <w:jc w:val="center"/>
            </w:pPr>
            <w:r/>
            <w:r>
              <w:rPr>
                <w:rFonts w:ascii="Calibri" w:hAnsi="Calibri"/>
                <w:b w:val="0"/>
                <w:sz w:val="16"/>
              </w:rPr>
              <w:t>9</w:t>
            </w:r>
          </w:p>
        </w:tc>
      </w:tr>
      <w:tr>
        <w:tc>
          <w:tcPr>
            <w:tcW w:type="dxa" w:w="2952"/>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Correct queries</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1,693</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1,839</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1,364</w:t>
            </w:r>
          </w:p>
        </w:tc>
        <w:tc>
          <w:tcPr>
            <w:tcW w:type="dxa" w:w="1944"/>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1,871</w:t>
            </w:r>
          </w:p>
        </w:tc>
      </w:tr>
      <w:tr>
        <w:tc>
          <w:tcPr>
            <w:tcW w:type="dxa" w:w="2952"/>
            <w:vAlign w:val="center"/>
            <w:tcMar>
              <w:top w:w="80" w:type="dxa"/>
              <w:start w:w="100" w:type="dxa"/>
              <w:bottom w:w="80" w:type="dxa"/>
              <w:end w:w="100" w:type="dxa"/>
            </w:tcMar>
          </w:tcPr>
          <w:p>
            <w:pPr>
              <w:spacing w:before="0" w:after="0" w:line="240" w:lineRule="auto"/>
              <w:jc w:val="left"/>
            </w:pPr>
            <w:r/>
            <w:r>
              <w:rPr>
                <w:rFonts w:ascii="Calibri" w:hAnsi="Calibri"/>
                <w:b/>
                <w:sz w:val="16"/>
              </w:rPr>
              <w:t>Wrong results</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0</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114</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0</w:t>
            </w:r>
          </w:p>
        </w:tc>
        <w:tc>
          <w:tcPr>
            <w:tcW w:type="dxa" w:w="1944"/>
            <w:vAlign w:val="center"/>
            <w:tcMar>
              <w:top w:w="80" w:type="dxa"/>
              <w:start w:w="100" w:type="dxa"/>
              <w:bottom w:w="80" w:type="dxa"/>
              <w:end w:w="100" w:type="dxa"/>
            </w:tcMar>
          </w:tcPr>
          <w:p>
            <w:pPr>
              <w:spacing w:before="0" w:after="0" w:line="240" w:lineRule="auto"/>
              <w:jc w:val="center"/>
            </w:pPr>
            <w:r/>
            <w:r>
              <w:rPr>
                <w:rFonts w:ascii="Calibri" w:hAnsi="Calibri"/>
                <w:b w:val="0"/>
                <w:sz w:val="16"/>
              </w:rPr>
              <w:t>69</w:t>
            </w:r>
          </w:p>
        </w:tc>
      </w:tr>
      <w:tr>
        <w:tc>
          <w:tcPr>
            <w:tcW w:type="dxa" w:w="2952"/>
            <w:vAlign w:val="center"/>
            <w:tcMar>
              <w:top w:w="80" w:type="dxa"/>
              <w:start w:w="100" w:type="dxa"/>
              <w:bottom w:w="80" w:type="dxa"/>
              <w:end w:w="100" w:type="dxa"/>
            </w:tcMar>
            <w:shd w:fill="EEF3F8"/>
          </w:tcPr>
          <w:p>
            <w:pPr>
              <w:spacing w:before="0" w:after="0" w:line="240" w:lineRule="auto"/>
              <w:jc w:val="left"/>
            </w:pPr>
            <w:r/>
            <w:r>
              <w:rPr>
                <w:rFonts w:ascii="Calibri" w:hAnsi="Calibri"/>
                <w:b/>
                <w:sz w:val="16"/>
              </w:rPr>
              <w:t>Execution errors</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307</w:t>
            </w:r>
          </w:p>
        </w:tc>
        <w:tc>
          <w:tcPr>
            <w:tcW w:type="dxa" w:w="208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47</w:t>
            </w:r>
          </w:p>
        </w:tc>
        <w:tc>
          <w:tcPr>
            <w:tcW w:type="dxa" w:w="1656"/>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636</w:t>
            </w:r>
          </w:p>
        </w:tc>
        <w:tc>
          <w:tcPr>
            <w:tcW w:type="dxa" w:w="1944"/>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6"/>
              </w:rPr>
              <w:t>60</w:t>
            </w:r>
          </w:p>
        </w:tc>
      </w:tr>
      <w:tr>
        <w:tc>
          <w:tcPr>
            <w:tcW w:type="dxa" w:w="2952"/>
            <w:vAlign w:val="center"/>
            <w:tcMar>
              <w:top w:w="80" w:type="dxa"/>
              <w:start w:w="100" w:type="dxa"/>
              <w:bottom w:w="80" w:type="dxa"/>
              <w:end w:w="100" w:type="dxa"/>
            </w:tcMar>
          </w:tcPr>
          <w:p>
            <w:pPr>
              <w:spacing w:before="0" w:after="0" w:line="240" w:lineRule="auto"/>
              <w:jc w:val="left"/>
            </w:pPr>
            <w:r/>
            <w:r>
              <w:rPr>
                <w:rFonts w:ascii="Calibri" w:hAnsi="Calibri"/>
                <w:b/>
                <w:sz w:val="16"/>
              </w:rPr>
              <w:t>Execution accuracy</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84.65%</w:t>
            </w:r>
          </w:p>
        </w:tc>
        <w:tc>
          <w:tcPr>
            <w:tcW w:type="dxa" w:w="2088"/>
            <w:vAlign w:val="center"/>
            <w:tcMar>
              <w:top w:w="80" w:type="dxa"/>
              <w:start w:w="100" w:type="dxa"/>
              <w:bottom w:w="80" w:type="dxa"/>
              <w:end w:w="100" w:type="dxa"/>
            </w:tcMar>
          </w:tcPr>
          <w:p>
            <w:pPr>
              <w:spacing w:before="0" w:after="0" w:line="240" w:lineRule="auto"/>
              <w:jc w:val="center"/>
            </w:pPr>
            <w:r/>
            <w:r>
              <w:rPr>
                <w:rFonts w:ascii="Calibri" w:hAnsi="Calibri"/>
                <w:b w:val="0"/>
                <w:sz w:val="16"/>
              </w:rPr>
              <w:t>91.95%</w:t>
            </w:r>
          </w:p>
        </w:tc>
        <w:tc>
          <w:tcPr>
            <w:tcW w:type="dxa" w:w="1656"/>
            <w:vAlign w:val="center"/>
            <w:tcMar>
              <w:top w:w="80" w:type="dxa"/>
              <w:start w:w="100" w:type="dxa"/>
              <w:bottom w:w="80" w:type="dxa"/>
              <w:end w:w="100" w:type="dxa"/>
            </w:tcMar>
          </w:tcPr>
          <w:p>
            <w:pPr>
              <w:spacing w:before="0" w:after="0" w:line="240" w:lineRule="auto"/>
              <w:jc w:val="center"/>
            </w:pPr>
            <w:r/>
            <w:r>
              <w:rPr>
                <w:rFonts w:ascii="Calibri" w:hAnsi="Calibri"/>
                <w:b w:val="0"/>
                <w:sz w:val="16"/>
              </w:rPr>
              <w:t>68.20%</w:t>
            </w:r>
          </w:p>
        </w:tc>
        <w:tc>
          <w:tcPr>
            <w:tcW w:type="dxa" w:w="1944"/>
            <w:vAlign w:val="center"/>
            <w:tcMar>
              <w:top w:w="80" w:type="dxa"/>
              <w:start w:w="100" w:type="dxa"/>
              <w:bottom w:w="80" w:type="dxa"/>
              <w:end w:w="100" w:type="dxa"/>
            </w:tcMar>
          </w:tcPr>
          <w:p>
            <w:pPr>
              <w:spacing w:before="0" w:after="0" w:line="240" w:lineRule="auto"/>
              <w:jc w:val="center"/>
            </w:pPr>
            <w:r/>
            <w:r>
              <w:rPr>
                <w:rFonts w:ascii="Calibri" w:hAnsi="Calibri"/>
                <w:b w:val="0"/>
                <w:sz w:val="16"/>
              </w:rPr>
              <w:t>93.55%</w:t>
            </w:r>
          </w:p>
        </w:tc>
      </w:tr>
    </w:tbl>
    <w:p>
      <w:pPr>
        <w:spacing w:before="20" w:after="160"/>
        <w:jc w:val="left"/>
      </w:pPr>
      <w:r>
        <w:rPr>
          <w:b/>
          <w:sz w:val="17"/>
        </w:rPr>
        <w:t xml:space="preserve">Source: </w:t>
      </w:r>
      <w:r>
        <w:rPr>
          <w:i/>
          <w:sz w:val="17"/>
        </w:rPr>
        <w:t>Reproduced from Table 11 in Meloni et al. (2025).</w:t>
      </w:r>
    </w:p>
    <w:p>
      <w:pPr>
        <w:spacing w:before="160" w:after="60"/>
        <w:jc w:val="left"/>
      </w:pPr>
      <w:r>
        <w:rPr>
          <w:b/>
          <w:sz w:val="20"/>
        </w:rPr>
        <w:t xml:space="preserve">Table. </w:t>
      </w:r>
      <w:r>
        <w:rPr>
          <w:i/>
          <w:sz w:val="20"/>
        </w:rPr>
        <w:t>Retrieval-augmented ensemble over the top four models.</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316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Metric</w:t>
            </w:r>
          </w:p>
        </w:tc>
        <w:tc>
          <w:tcPr>
            <w:tcW w:type="dxa" w:w="316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Retrieval-augmented ensemble</w:t>
            </w:r>
          </w:p>
        </w:tc>
      </w:tr>
      <w:tr>
        <w:tc>
          <w:tcPr>
            <w:tcW w:type="dxa" w:w="3168"/>
            <w:vAlign w:val="center"/>
            <w:tcMar>
              <w:top w:w="80" w:type="dxa"/>
              <w:start w:w="100" w:type="dxa"/>
              <w:bottom w:w="80" w:type="dxa"/>
              <w:end w:w="100" w:type="dxa"/>
            </w:tcMar>
          </w:tcPr>
          <w:p>
            <w:pPr>
              <w:spacing w:before="0" w:after="0" w:line="240" w:lineRule="auto"/>
              <w:jc w:val="left"/>
            </w:pPr>
            <w:r/>
            <w:r>
              <w:rPr>
                <w:rFonts w:ascii="Calibri" w:hAnsi="Calibri"/>
                <w:b/>
                <w:sz w:val="17"/>
              </w:rPr>
              <w:t>Exact matches</w:t>
            </w:r>
          </w:p>
        </w:tc>
        <w:tc>
          <w:tcPr>
            <w:tcW w:type="dxa" w:w="3168"/>
            <w:vAlign w:val="center"/>
            <w:tcMar>
              <w:top w:w="80" w:type="dxa"/>
              <w:start w:w="100" w:type="dxa"/>
              <w:bottom w:w="80" w:type="dxa"/>
              <w:end w:w="100" w:type="dxa"/>
            </w:tcMar>
          </w:tcPr>
          <w:p>
            <w:pPr>
              <w:spacing w:before="0" w:after="0" w:line="240" w:lineRule="auto"/>
              <w:jc w:val="center"/>
            </w:pPr>
            <w:r/>
            <w:r>
              <w:rPr>
                <w:rFonts w:ascii="Calibri" w:hAnsi="Calibri"/>
                <w:b w:val="0"/>
                <w:sz w:val="17"/>
              </w:rPr>
              <w:t>1,836</w:t>
            </w:r>
          </w:p>
        </w:tc>
      </w:tr>
      <w:tr>
        <w:tc>
          <w:tcPr>
            <w:tcW w:type="dxa" w:w="316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Non-exact, correct, non-empty</w:t>
            </w:r>
          </w:p>
        </w:tc>
        <w:tc>
          <w:tcPr>
            <w:tcW w:type="dxa" w:w="316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7"/>
              </w:rPr>
              <w:t>53</w:t>
            </w:r>
          </w:p>
        </w:tc>
      </w:tr>
      <w:tr>
        <w:tc>
          <w:tcPr>
            <w:tcW w:type="dxa" w:w="3168"/>
            <w:vAlign w:val="center"/>
            <w:tcMar>
              <w:top w:w="80" w:type="dxa"/>
              <w:start w:w="100" w:type="dxa"/>
              <w:bottom w:w="80" w:type="dxa"/>
              <w:end w:w="100" w:type="dxa"/>
            </w:tcMar>
          </w:tcPr>
          <w:p>
            <w:pPr>
              <w:spacing w:before="0" w:after="0" w:line="240" w:lineRule="auto"/>
              <w:jc w:val="left"/>
            </w:pPr>
            <w:r/>
            <w:r>
              <w:rPr>
                <w:rFonts w:ascii="Calibri" w:hAnsi="Calibri"/>
                <w:b/>
                <w:sz w:val="17"/>
              </w:rPr>
              <w:t>Non-exact, correct, empty</w:t>
            </w:r>
          </w:p>
        </w:tc>
        <w:tc>
          <w:tcPr>
            <w:tcW w:type="dxa" w:w="3168"/>
            <w:vAlign w:val="center"/>
            <w:tcMar>
              <w:top w:w="80" w:type="dxa"/>
              <w:start w:w="100" w:type="dxa"/>
              <w:bottom w:w="80" w:type="dxa"/>
              <w:end w:w="100" w:type="dxa"/>
            </w:tcMar>
          </w:tcPr>
          <w:p>
            <w:pPr>
              <w:spacing w:before="0" w:after="0" w:line="240" w:lineRule="auto"/>
              <w:jc w:val="center"/>
            </w:pPr>
            <w:r/>
            <w:r>
              <w:rPr>
                <w:rFonts w:ascii="Calibri" w:hAnsi="Calibri"/>
                <w:b w:val="0"/>
                <w:sz w:val="17"/>
              </w:rPr>
              <w:t>9</w:t>
            </w:r>
          </w:p>
        </w:tc>
      </w:tr>
      <w:tr>
        <w:tc>
          <w:tcPr>
            <w:tcW w:type="dxa" w:w="316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Correct queries</w:t>
            </w:r>
          </w:p>
        </w:tc>
        <w:tc>
          <w:tcPr>
            <w:tcW w:type="dxa" w:w="316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7"/>
              </w:rPr>
              <w:t>1,898</w:t>
            </w:r>
          </w:p>
        </w:tc>
      </w:tr>
      <w:tr>
        <w:tc>
          <w:tcPr>
            <w:tcW w:type="dxa" w:w="3168"/>
            <w:vAlign w:val="center"/>
            <w:tcMar>
              <w:top w:w="80" w:type="dxa"/>
              <w:start w:w="100" w:type="dxa"/>
              <w:bottom w:w="80" w:type="dxa"/>
              <w:end w:w="100" w:type="dxa"/>
            </w:tcMar>
          </w:tcPr>
          <w:p>
            <w:pPr>
              <w:spacing w:before="0" w:after="0" w:line="240" w:lineRule="auto"/>
              <w:jc w:val="left"/>
            </w:pPr>
            <w:r/>
            <w:r>
              <w:rPr>
                <w:rFonts w:ascii="Calibri" w:hAnsi="Calibri"/>
                <w:b/>
                <w:sz w:val="17"/>
              </w:rPr>
              <w:t>Wrong results</w:t>
            </w:r>
          </w:p>
        </w:tc>
        <w:tc>
          <w:tcPr>
            <w:tcW w:type="dxa" w:w="3168"/>
            <w:vAlign w:val="center"/>
            <w:tcMar>
              <w:top w:w="80" w:type="dxa"/>
              <w:start w:w="100" w:type="dxa"/>
              <w:bottom w:w="80" w:type="dxa"/>
              <w:end w:w="100" w:type="dxa"/>
            </w:tcMar>
          </w:tcPr>
          <w:p>
            <w:pPr>
              <w:spacing w:before="0" w:after="0" w:line="240" w:lineRule="auto"/>
              <w:jc w:val="center"/>
            </w:pPr>
            <w:r/>
            <w:r>
              <w:rPr>
                <w:rFonts w:ascii="Calibri" w:hAnsi="Calibri"/>
                <w:b w:val="0"/>
                <w:sz w:val="17"/>
              </w:rPr>
              <w:t>61</w:t>
            </w:r>
          </w:p>
        </w:tc>
      </w:tr>
      <w:tr>
        <w:tc>
          <w:tcPr>
            <w:tcW w:type="dxa" w:w="316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Execution errors</w:t>
            </w:r>
          </w:p>
        </w:tc>
        <w:tc>
          <w:tcPr>
            <w:tcW w:type="dxa" w:w="316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7"/>
              </w:rPr>
              <w:t>41</w:t>
            </w:r>
          </w:p>
        </w:tc>
      </w:tr>
      <w:tr>
        <w:tc>
          <w:tcPr>
            <w:tcW w:type="dxa" w:w="3168"/>
            <w:vAlign w:val="center"/>
            <w:tcMar>
              <w:top w:w="80" w:type="dxa"/>
              <w:start w:w="100" w:type="dxa"/>
              <w:bottom w:w="80" w:type="dxa"/>
              <w:end w:w="100" w:type="dxa"/>
            </w:tcMar>
          </w:tcPr>
          <w:p>
            <w:pPr>
              <w:spacing w:before="0" w:after="0" w:line="240" w:lineRule="auto"/>
              <w:jc w:val="left"/>
            </w:pPr>
            <w:r/>
            <w:r>
              <w:rPr>
                <w:rFonts w:ascii="Calibri" w:hAnsi="Calibri"/>
                <w:b/>
                <w:sz w:val="17"/>
              </w:rPr>
              <w:t>Execution accuracy</w:t>
            </w:r>
          </w:p>
        </w:tc>
        <w:tc>
          <w:tcPr>
            <w:tcW w:type="dxa" w:w="3168"/>
            <w:vAlign w:val="center"/>
            <w:tcMar>
              <w:top w:w="80" w:type="dxa"/>
              <w:start w:w="100" w:type="dxa"/>
              <w:bottom w:w="80" w:type="dxa"/>
              <w:end w:w="100" w:type="dxa"/>
            </w:tcMar>
          </w:tcPr>
          <w:p>
            <w:pPr>
              <w:spacing w:before="0" w:after="0" w:line="240" w:lineRule="auto"/>
              <w:jc w:val="center"/>
            </w:pPr>
            <w:r/>
            <w:r>
              <w:rPr>
                <w:rFonts w:ascii="Calibri" w:hAnsi="Calibri"/>
                <w:b w:val="0"/>
                <w:sz w:val="17"/>
              </w:rPr>
              <w:t>94.90%</w:t>
            </w:r>
          </w:p>
        </w:tc>
      </w:tr>
    </w:tbl>
    <w:p>
      <w:pPr>
        <w:spacing w:before="20" w:after="160"/>
        <w:jc w:val="left"/>
      </w:pPr>
      <w:r>
        <w:rPr>
          <w:b/>
          <w:sz w:val="17"/>
        </w:rPr>
        <w:t xml:space="preserve">Source: </w:t>
      </w:r>
      <w:r>
        <w:rPr>
          <w:i/>
          <w:sz w:val="17"/>
        </w:rPr>
        <w:t>Reproduced from Table 12 in Meloni et al. (2025).</w:t>
      </w:r>
    </w:p>
    <w:p>
      <w:pPr>
        <w:sectPr>
          <w:pgSz w:w="15840" w:h="12240" w:orient="landscape"/>
          <w:pgMar w:top="792" w:right="648" w:bottom="720" w:left="648" w:header="720" w:footer="720" w:gutter="0"/>
          <w:cols w:space="720"/>
          <w:docGrid w:linePitch="360"/>
        </w:sectPr>
      </w:pPr>
    </w:p>
    <w:p>
      <w:pPr>
        <w:pStyle w:val="Heading2"/>
        <w:spacing w:after="120" w:before="0"/>
      </w:pPr>
      <w:r>
        <w:rPr>
          <w:rFonts w:ascii="Calibri" w:hAnsi="Calibri"/>
          <w:b w:val="0"/>
          <w:i w:val="0"/>
        </w:rPr>
        <w:t>Interpretation of the DBLP-QuAD experiments</w:t>
      </w:r>
    </w:p>
    <w:p>
      <w:pPr>
        <w:pStyle w:val="ListBullet"/>
        <w:spacing w:after="60"/>
        <w:ind w:left="288"/>
      </w:pPr>
      <w:r>
        <w:rPr>
          <w:rFonts w:ascii="Calibri" w:hAnsi="Calibri"/>
          <w:sz w:val="20"/>
        </w:rPr>
        <w:t>Llama3.1-8B is the strongest individual model on DBLP-QuAD, with F1 0.9885 and 1,819 exact matches.</w:t>
      </w:r>
    </w:p>
    <w:p>
      <w:pPr>
        <w:pStyle w:val="ListBullet"/>
        <w:spacing w:after="60"/>
        <w:ind w:left="288"/>
      </w:pPr>
      <w:r>
        <w:rPr>
          <w:rFonts w:ascii="Calibri" w:hAnsi="Calibri"/>
          <w:sz w:val="20"/>
        </w:rPr>
        <w:t>Mistral-7B-v0.1 ranks second and also shows strong execution-based behaviour, including 75 non-exact but still correct non-empty queries.</w:t>
      </w:r>
    </w:p>
    <w:p>
      <w:pPr>
        <w:pStyle w:val="ListBullet"/>
        <w:spacing w:after="60"/>
        <w:ind w:left="288"/>
      </w:pPr>
      <w:r>
        <w:rPr>
          <w:rFonts w:ascii="Calibri" w:hAnsi="Calibri"/>
          <w:sz w:val="20"/>
        </w:rPr>
        <w:t>T5-base becomes much more competitive when entities and relations are given explicitly, confirming that explicit schema/entity guidance is highly beneficial.</w:t>
      </w:r>
    </w:p>
    <w:p>
      <w:pPr>
        <w:pStyle w:val="ListBullet"/>
        <w:spacing w:after="60"/>
        <w:ind w:left="288"/>
      </w:pPr>
      <w:r>
        <w:rPr>
          <w:rFonts w:ascii="Calibri" w:hAnsi="Calibri"/>
          <w:sz w:val="20"/>
        </w:rPr>
        <w:t>Execution-based evaluation reveals that exact match underestimates practical usefulness: Mistral and Llama generate many alternative but still correct queries.</w:t>
      </w:r>
    </w:p>
    <w:p>
      <w:pPr>
        <w:pStyle w:val="ListBullet"/>
        <w:spacing w:after="60"/>
        <w:ind w:left="288"/>
      </w:pPr>
      <w:r>
        <w:rPr>
          <w:rFonts w:ascii="Calibri" w:hAnsi="Calibri"/>
          <w:sz w:val="20"/>
        </w:rPr>
        <w:t>The retrieval-augmented ensemble achieves the best overall execution accuracy, 94.90%, outperforming each individual model.</w:t>
      </w:r>
    </w:p>
    <w:p>
      <w:pPr>
        <w:spacing w:after="120" w:before="0"/>
      </w:pPr>
      <w:r>
        <w:rPr>
          <w:rFonts w:ascii="Calibri" w:hAnsi="Calibri"/>
          <w:b w:val="0"/>
          <w:i w:val="0"/>
          <w:sz w:val="20"/>
        </w:rPr>
        <w:t>This part of the paper is directly useful for your thesis methodology because it empirically supports the idea that better context - especially entity/relation guidance or hybrid answer selection - can close a large part of the gap without necessarily requiring a completely new model architecture.</w:t>
      </w:r>
    </w:p>
    <w:p>
      <w:pPr>
        <w:sectPr>
          <w:pgSz w:w="12240" w:h="15840"/>
          <w:pgMar w:top="1008" w:right="1080" w:bottom="864" w:left="1080" w:header="720" w:footer="720" w:gutter="0"/>
          <w:cols w:space="720"/>
          <w:docGrid w:linePitch="360"/>
        </w:sectPr>
      </w:pPr>
    </w:p>
    <w:p>
      <w:pPr>
        <w:pStyle w:val="Heading1"/>
        <w:spacing w:after="120" w:before="0"/>
      </w:pPr>
      <w:r>
        <w:rPr>
          <w:rFonts w:ascii="Calibri" w:hAnsi="Calibri"/>
          <w:b w:val="0"/>
          <w:i w:val="0"/>
        </w:rPr>
        <w:t>Transfer learning experiments</w:t>
      </w:r>
    </w:p>
    <w:p>
      <w:pPr>
        <w:spacing w:after="120" w:before="0"/>
      </w:pPr>
      <w:r>
        <w:rPr>
          <w:rFonts w:ascii="Calibri" w:hAnsi="Calibri"/>
          <w:b w:val="0"/>
          <w:i w:val="0"/>
          <w:sz w:val="20"/>
        </w:rPr>
        <w:t>The authors also test whether knowledge transfers between SciQA and DBLP-QuAD. To make this fairer, they build a modified SciQA version called SciQA_er that includes the correct entities and predicates as input.</w:t>
      </w:r>
    </w:p>
    <w:p>
      <w:pPr>
        <w:spacing w:before="160" w:after="60"/>
        <w:jc w:val="left"/>
      </w:pPr>
      <w:r>
        <w:rPr>
          <w:b/>
          <w:sz w:val="20"/>
        </w:rPr>
        <w:t xml:space="preserve">Table. </w:t>
      </w:r>
      <w:r>
        <w:rPr>
          <w:i/>
          <w:sz w:val="20"/>
        </w:rPr>
        <w:t>Transfer learning with Llama3.1-8B across benchmark combinations.</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944"/>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Metric</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sciqa-sciqa</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dblp-dblp</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dblp-sciqa</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dblp-sciqa_er</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both-sciqa_er</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both-dblp</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sciqa_er-dblp</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Precision</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0.9793</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0.9907</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0.1929</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0.6583</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0.9861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0.9910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0.3670</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Recall</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0.9765</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0.9897</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0.0870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0.3430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0.9829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0.9872</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0.5733</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F1 score</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0.9765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0.9885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0.1070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0.4410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0.9835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0.9872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0.4261</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BLEU-4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0.9613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0.9744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0.0006</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0.0111</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0.9679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0.9714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0.1485</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BLEU cumulative</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0.9637</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0.9774</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0.0013</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0.0465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0.9712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0.9744</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0.2211</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ROUGE-1</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0.9796</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0.9920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0.2144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0.5908</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0.9887</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0.9927</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0.4783</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ROUGE-2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0.9681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0.9846</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0.0437</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0.2628</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0.9780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0.9848</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0.2569</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Exact matches</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492</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1,819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492</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1,815</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Exact matches %</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95.91%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90.95%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95.91%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90.75%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 test samples</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r>
    </w:tbl>
    <w:p>
      <w:pPr>
        <w:spacing w:before="20" w:after="160"/>
        <w:jc w:val="left"/>
      </w:pPr>
      <w:r>
        <w:rPr>
          <w:b/>
          <w:sz w:val="17"/>
        </w:rPr>
        <w:t xml:space="preserve">Source: </w:t>
      </w:r>
      <w:r>
        <w:rPr>
          <w:i/>
          <w:sz w:val="17"/>
        </w:rPr>
        <w:t>Reproduced from Table 13 in Meloni et al. (2025).</w:t>
      </w:r>
    </w:p>
    <w:p>
      <w:pPr>
        <w:spacing w:before="160" w:after="60"/>
        <w:jc w:val="left"/>
      </w:pPr>
      <w:r>
        <w:rPr>
          <w:b/>
          <w:sz w:val="20"/>
        </w:rPr>
        <w:t xml:space="preserve">Table. </w:t>
      </w:r>
      <w:r>
        <w:rPr>
          <w:i/>
          <w:sz w:val="20"/>
        </w:rPr>
        <w:t>Transfer learning with T5-base across benchmark combinations.</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944"/>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Metric</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sciqa-sciqa</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dblp-dblp</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dblp-sciqa</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dblp-sciqa_er</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both-sciqa_er</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both-dblp</w:t>
            </w:r>
          </w:p>
        </w:tc>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5"/>
              </w:rPr>
              <w:t>sciqa_er-dblp</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Precision</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0.9767</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0.9774</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0.1538</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0.1435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0.9814</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0.9779</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0.3293</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Recall</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0.9760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0.9793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0.0600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0.0768</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0.9781</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0.9749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0.4561</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F1 score</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0.9751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0.9746</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0.0826</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0.0902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0.9782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0.9730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0.3572</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BLEU-4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0.9597</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0.9479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0.0031</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0.0006</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0.9626</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0.9429</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0.0950</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BLEU cumulative</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0.9631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0.9530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0.0052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0.0018</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0.9655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0.9491</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0.1650</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ROUGE-1</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0.9790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0.9884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0.1454</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0.1972</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0.9830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0.9865</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0.5646</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ROUGE-2</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0.9683</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0.9786</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0.0419</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0.0339</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0.9720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0.9750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0.3236</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Exact matches</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483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1,693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485</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1,652</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0</w:t>
            </w:r>
          </w:p>
        </w:tc>
      </w:tr>
      <w:tr>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sz w:val="15"/>
              </w:rPr>
              <w:t>Exact matches %</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94.15%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84.65%</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94.54%</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82.60%</w:t>
            </w:r>
          </w:p>
        </w:tc>
        <w:tc>
          <w:tcPr>
            <w:tcW w:type="dxa" w:w="1728"/>
            <w:vAlign w:val="center"/>
            <w:tcMar>
              <w:top w:w="80" w:type="dxa"/>
              <w:start w:w="100" w:type="dxa"/>
              <w:bottom w:w="80" w:type="dxa"/>
              <w:end w:w="100" w:type="dxa"/>
            </w:tcMar>
          </w:tcPr>
          <w:p>
            <w:pPr>
              <w:spacing w:before="0" w:after="0" w:line="240" w:lineRule="auto"/>
              <w:jc w:val="center"/>
            </w:pPr>
            <w:r/>
            <w:r>
              <w:rPr>
                <w:rFonts w:ascii="Calibri" w:hAnsi="Calibri"/>
                <w:b w:val="0"/>
                <w:sz w:val="15"/>
              </w:rPr>
              <w:t>0.00%</w:t>
            </w:r>
          </w:p>
        </w:tc>
      </w:tr>
      <w:tr>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sz w:val="15"/>
              </w:rPr>
              <w:t># test samples</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513</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c>
          <w:tcPr>
            <w:tcW w:type="dxa" w:w="1728"/>
            <w:vAlign w:val="center"/>
            <w:tcMar>
              <w:top w:w="80" w:type="dxa"/>
              <w:start w:w="100" w:type="dxa"/>
              <w:bottom w:w="80" w:type="dxa"/>
              <w:end w:w="100" w:type="dxa"/>
            </w:tcMar>
            <w:shd w:fill="EEF3F8"/>
          </w:tcPr>
          <w:p>
            <w:pPr>
              <w:spacing w:before="0" w:after="0" w:line="240" w:lineRule="auto"/>
              <w:jc w:val="center"/>
            </w:pPr>
            <w:r/>
            <w:r>
              <w:rPr>
                <w:rFonts w:ascii="Calibri" w:hAnsi="Calibri"/>
                <w:b w:val="0"/>
                <w:sz w:val="15"/>
              </w:rPr>
              <w:t>2,000</w:t>
            </w:r>
          </w:p>
        </w:tc>
      </w:tr>
    </w:tbl>
    <w:p>
      <w:pPr>
        <w:spacing w:before="20" w:after="160"/>
        <w:jc w:val="left"/>
      </w:pPr>
      <w:r>
        <w:rPr>
          <w:b/>
          <w:sz w:val="17"/>
        </w:rPr>
        <w:t xml:space="preserve">Source: </w:t>
      </w:r>
      <w:r>
        <w:rPr>
          <w:i/>
          <w:sz w:val="17"/>
        </w:rPr>
        <w:t>Reproduced from Table 14 in Meloni et al. (2025).</w:t>
      </w:r>
    </w:p>
    <w:p>
      <w:pPr>
        <w:sectPr>
          <w:pgSz w:w="15840" w:h="12240" w:orient="landscape"/>
          <w:pgMar w:top="792" w:right="648" w:bottom="720" w:left="648" w:header="720" w:footer="720" w:gutter="0"/>
          <w:cols w:space="720"/>
          <w:docGrid w:linePitch="360"/>
        </w:sectPr>
      </w:pPr>
    </w:p>
    <w:p>
      <w:pPr>
        <w:pStyle w:val="Heading2"/>
        <w:spacing w:after="120" w:before="0"/>
      </w:pPr>
      <w:r>
        <w:rPr>
          <w:rFonts w:ascii="Calibri" w:hAnsi="Calibri"/>
          <w:b w:val="0"/>
          <w:i w:val="0"/>
        </w:rPr>
        <w:t>Interpretation of the transfer-learning results</w:t>
      </w:r>
    </w:p>
    <w:p>
      <w:pPr>
        <w:pStyle w:val="ListBullet"/>
        <w:spacing w:after="60"/>
        <w:ind w:left="288"/>
      </w:pPr>
      <w:r>
        <w:rPr>
          <w:rFonts w:ascii="Calibri" w:hAnsi="Calibri"/>
          <w:sz w:val="20"/>
        </w:rPr>
        <w:t>Direct transfer across benchmarks is possible, but clearly weaker than in-domain training.</w:t>
      </w:r>
    </w:p>
    <w:p>
      <w:pPr>
        <w:pStyle w:val="ListBullet"/>
        <w:spacing w:after="60"/>
        <w:ind w:left="288"/>
      </w:pPr>
      <w:r>
        <w:rPr>
          <w:rFonts w:ascii="Calibri" w:hAnsi="Calibri"/>
          <w:sz w:val="20"/>
        </w:rPr>
        <w:t>Llama3.1-8B transfers much better than T5 when moving from DBLP-QuAD to SciQA_er or from SciQA_er to DBLP-QuAD.</w:t>
      </w:r>
    </w:p>
    <w:p>
      <w:pPr>
        <w:pStyle w:val="ListBullet"/>
        <w:spacing w:after="60"/>
        <w:ind w:left="288"/>
      </w:pPr>
      <w:r>
        <w:rPr>
          <w:rFonts w:ascii="Calibri" w:hAnsi="Calibri"/>
          <w:sz w:val="20"/>
        </w:rPr>
        <w:t>Providing entities and relations in SciQA_er substantially improves cross-benchmark transferability compared with raw SciQA.</w:t>
      </w:r>
    </w:p>
    <w:p>
      <w:pPr>
        <w:pStyle w:val="ListBullet"/>
        <w:spacing w:after="60"/>
        <w:ind w:left="288"/>
      </w:pPr>
      <w:r>
        <w:rPr>
          <w:rFonts w:ascii="Calibri" w:hAnsi="Calibri"/>
          <w:sz w:val="20"/>
        </w:rPr>
        <w:t>Training on the combined datasets can produce small gains on SciQA_er, but may also introduce noise, especially when the schemas and query styles differ.</w:t>
      </w:r>
    </w:p>
    <w:p>
      <w:pPr>
        <w:spacing w:after="120" w:before="0"/>
      </w:pPr>
      <w:r>
        <w:rPr>
          <w:rFonts w:ascii="Calibri" w:hAnsi="Calibri"/>
          <w:b w:val="0"/>
          <w:i w:val="0"/>
          <w:sz w:val="20"/>
        </w:rPr>
        <w:t>This is highly relevant to any thesis plan involving synthetic data expansion, cross-dataset pretraining, or staged adaptation. The paper's evidence suggests that transfer is not hopeless, but also not automatic: models do not only need to learn SPARQL syntax, they must adapt to benchmark-specific ontology choices and question styles.</w:t>
      </w:r>
    </w:p>
    <w:p>
      <w:pPr>
        <w:pStyle w:val="Heading1"/>
        <w:spacing w:after="120" w:before="0"/>
      </w:pPr>
      <w:r>
        <w:rPr>
          <w:rFonts w:ascii="Calibri" w:hAnsi="Calibri"/>
          <w:b w:val="0"/>
          <w:i w:val="0"/>
        </w:rPr>
        <w:t>Resources, compute, and practical cost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72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Model</w:t>
            </w:r>
          </w:p>
        </w:tc>
        <w:tc>
          <w:tcPr>
            <w:tcW w:type="dxa" w:w="3240"/>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VM / GPU</w:t>
            </w:r>
          </w:p>
        </w:tc>
        <w:tc>
          <w:tcPr>
            <w:tcW w:type="dxa" w:w="1368"/>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Quantization</w:t>
            </w:r>
          </w:p>
        </w:tc>
        <w:tc>
          <w:tcPr>
            <w:tcW w:type="dxa" w:w="1944"/>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DBLP-QuAD FT time</w:t>
            </w:r>
          </w:p>
        </w:tc>
        <w:tc>
          <w:tcPr>
            <w:tcW w:type="dxa" w:w="1800"/>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SciQA FT time</w:t>
            </w:r>
          </w:p>
        </w:tc>
      </w:tr>
      <w:tr>
        <w:tc>
          <w:tcPr>
            <w:tcW w:type="dxa" w:w="1728"/>
            <w:vAlign w:val="center"/>
            <w:tcMar>
              <w:top w:w="80" w:type="dxa"/>
              <w:start w:w="100" w:type="dxa"/>
              <w:bottom w:w="80" w:type="dxa"/>
              <w:end w:w="100" w:type="dxa"/>
            </w:tcMar>
          </w:tcPr>
          <w:p>
            <w:pPr>
              <w:spacing w:before="0" w:after="0" w:line="240" w:lineRule="auto"/>
              <w:jc w:val="left"/>
            </w:pPr>
            <w:r/>
            <w:r>
              <w:rPr>
                <w:rFonts w:ascii="Calibri" w:hAnsi="Calibri"/>
                <w:b/>
                <w:sz w:val="17"/>
              </w:rPr>
              <w:t>T5-base</w:t>
            </w:r>
          </w:p>
        </w:tc>
        <w:tc>
          <w:tcPr>
            <w:tcW w:type="dxa" w:w="3240"/>
            <w:vAlign w:val="center"/>
            <w:tcMar>
              <w:top w:w="80" w:type="dxa"/>
              <w:start w:w="100" w:type="dxa"/>
              <w:bottom w:w="80" w:type="dxa"/>
              <w:end w:w="100" w:type="dxa"/>
            </w:tcMar>
          </w:tcPr>
          <w:p>
            <w:pPr>
              <w:spacing w:before="0" w:after="0" w:line="240" w:lineRule="auto"/>
              <w:jc w:val="left"/>
            </w:pPr>
            <w:r/>
            <w:r>
              <w:rPr>
                <w:rFonts w:ascii="Calibri" w:hAnsi="Calibri"/>
                <w:b w:val="0"/>
                <w:sz w:val="17"/>
              </w:rPr>
              <w:t>T4 GPU, 2 vCPUs, 12 GB RAM</w:t>
            </w:r>
          </w:p>
        </w:tc>
        <w:tc>
          <w:tcPr>
            <w:tcW w:type="dxa" w:w="1368"/>
            <w:vAlign w:val="center"/>
            <w:tcMar>
              <w:top w:w="80" w:type="dxa"/>
              <w:start w:w="100" w:type="dxa"/>
              <w:bottom w:w="80" w:type="dxa"/>
              <w:end w:w="100" w:type="dxa"/>
            </w:tcMar>
          </w:tcPr>
          <w:p>
            <w:pPr>
              <w:spacing w:before="0" w:after="0" w:line="240" w:lineRule="auto"/>
              <w:jc w:val="left"/>
            </w:pPr>
            <w:r/>
            <w:r>
              <w:rPr>
                <w:rFonts w:ascii="Calibri" w:hAnsi="Calibri"/>
                <w:b w:val="0"/>
                <w:sz w:val="17"/>
              </w:rPr>
              <w:t>No 4-bit note</w:t>
            </w:r>
          </w:p>
        </w:tc>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val="0"/>
                <w:sz w:val="17"/>
              </w:rPr>
              <w:t>Approx. 3 h for 20 epochs</w:t>
            </w:r>
          </w:p>
        </w:tc>
        <w:tc>
          <w:tcPr>
            <w:tcW w:type="dxa" w:w="1800"/>
            <w:vAlign w:val="center"/>
            <w:tcMar>
              <w:top w:w="80" w:type="dxa"/>
              <w:start w:w="100" w:type="dxa"/>
              <w:bottom w:w="80" w:type="dxa"/>
              <w:end w:w="100" w:type="dxa"/>
            </w:tcMar>
          </w:tcPr>
          <w:p>
            <w:pPr>
              <w:spacing w:before="0" w:after="0" w:line="240" w:lineRule="auto"/>
              <w:jc w:val="left"/>
            </w:pPr>
            <w:r/>
            <w:r>
              <w:rPr>
                <w:rFonts w:ascii="Calibri" w:hAnsi="Calibri"/>
                <w:b w:val="0"/>
                <w:sz w:val="17"/>
              </w:rPr>
              <w:t>Under 1 h</w:t>
            </w:r>
          </w:p>
        </w:tc>
      </w:tr>
      <w:tr>
        <w:tc>
          <w:tcPr>
            <w:tcW w:type="dxa" w:w="172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Dolly-v2-3b</w:t>
            </w:r>
          </w:p>
        </w:tc>
        <w:tc>
          <w:tcPr>
            <w:tcW w:type="dxa" w:w="324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T4 GPU, 2 vCPUs, 12 GB RAM</w:t>
            </w:r>
          </w:p>
        </w:tc>
        <w:tc>
          <w:tcPr>
            <w:tcW w:type="dxa" w:w="136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4-bit</w:t>
            </w:r>
          </w:p>
        </w:tc>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Not stated separately on DBLP-QuAD in this section</w:t>
            </w:r>
          </w:p>
        </w:tc>
        <w:tc>
          <w:tcPr>
            <w:tcW w:type="dxa" w:w="180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Approx. 5 h</w:t>
            </w:r>
          </w:p>
        </w:tc>
      </w:tr>
      <w:tr>
        <w:tc>
          <w:tcPr>
            <w:tcW w:type="dxa" w:w="1728"/>
            <w:vAlign w:val="center"/>
            <w:tcMar>
              <w:top w:w="80" w:type="dxa"/>
              <w:start w:w="100" w:type="dxa"/>
              <w:bottom w:w="80" w:type="dxa"/>
              <w:end w:w="100" w:type="dxa"/>
            </w:tcMar>
          </w:tcPr>
          <w:p>
            <w:pPr>
              <w:spacing w:before="0" w:after="0" w:line="240" w:lineRule="auto"/>
              <w:jc w:val="left"/>
            </w:pPr>
            <w:r/>
            <w:r>
              <w:rPr>
                <w:rFonts w:ascii="Calibri" w:hAnsi="Calibri"/>
                <w:b/>
                <w:sz w:val="17"/>
              </w:rPr>
              <w:t>Mistral-7B-v0.1</w:t>
            </w:r>
          </w:p>
        </w:tc>
        <w:tc>
          <w:tcPr>
            <w:tcW w:type="dxa" w:w="3240"/>
            <w:vAlign w:val="center"/>
            <w:tcMar>
              <w:top w:w="80" w:type="dxa"/>
              <w:start w:w="100" w:type="dxa"/>
              <w:bottom w:w="80" w:type="dxa"/>
              <w:end w:w="100" w:type="dxa"/>
            </w:tcMar>
          </w:tcPr>
          <w:p>
            <w:pPr>
              <w:spacing w:before="0" w:after="0" w:line="240" w:lineRule="auto"/>
              <w:jc w:val="left"/>
            </w:pPr>
            <w:r/>
            <w:r>
              <w:rPr>
                <w:rFonts w:ascii="Calibri" w:hAnsi="Calibri"/>
                <w:b w:val="0"/>
                <w:sz w:val="17"/>
              </w:rPr>
              <w:t>L4 GPU, 2 vCPUs, 12 GB RAM</w:t>
            </w:r>
          </w:p>
        </w:tc>
        <w:tc>
          <w:tcPr>
            <w:tcW w:type="dxa" w:w="1368"/>
            <w:vAlign w:val="center"/>
            <w:tcMar>
              <w:top w:w="80" w:type="dxa"/>
              <w:start w:w="100" w:type="dxa"/>
              <w:bottom w:w="80" w:type="dxa"/>
              <w:end w:w="100" w:type="dxa"/>
            </w:tcMar>
          </w:tcPr>
          <w:p>
            <w:pPr>
              <w:spacing w:before="0" w:after="0" w:line="240" w:lineRule="auto"/>
              <w:jc w:val="left"/>
            </w:pPr>
            <w:r/>
            <w:r>
              <w:rPr>
                <w:rFonts w:ascii="Calibri" w:hAnsi="Calibri"/>
                <w:b w:val="0"/>
                <w:sz w:val="17"/>
              </w:rPr>
              <w:t>4-bit</w:t>
            </w:r>
          </w:p>
        </w:tc>
        <w:tc>
          <w:tcPr>
            <w:tcW w:type="dxa" w:w="1944"/>
            <w:vAlign w:val="center"/>
            <w:tcMar>
              <w:top w:w="80" w:type="dxa"/>
              <w:start w:w="100" w:type="dxa"/>
              <w:bottom w:w="80" w:type="dxa"/>
              <w:end w:w="100" w:type="dxa"/>
            </w:tcMar>
          </w:tcPr>
          <w:p>
            <w:pPr>
              <w:spacing w:before="0" w:after="0" w:line="240" w:lineRule="auto"/>
              <w:jc w:val="left"/>
            </w:pPr>
            <w:r/>
            <w:r>
              <w:rPr>
                <w:rFonts w:ascii="Calibri" w:hAnsi="Calibri"/>
                <w:b w:val="0"/>
                <w:sz w:val="17"/>
              </w:rPr>
              <w:t>Approx. 14 h for 10 epochs</w:t>
            </w:r>
          </w:p>
        </w:tc>
        <w:tc>
          <w:tcPr>
            <w:tcW w:type="dxa" w:w="1800"/>
            <w:vAlign w:val="center"/>
            <w:tcMar>
              <w:top w:w="80" w:type="dxa"/>
              <w:start w:w="100" w:type="dxa"/>
              <w:bottom w:w="80" w:type="dxa"/>
              <w:end w:w="100" w:type="dxa"/>
            </w:tcMar>
          </w:tcPr>
          <w:p>
            <w:pPr>
              <w:spacing w:before="0" w:after="0" w:line="240" w:lineRule="auto"/>
              <w:jc w:val="left"/>
            </w:pPr>
            <w:r/>
            <w:r>
              <w:rPr>
                <w:rFonts w:ascii="Calibri" w:hAnsi="Calibri"/>
                <w:b w:val="0"/>
                <w:sz w:val="17"/>
              </w:rPr>
              <w:t>Less than 6 h</w:t>
            </w:r>
          </w:p>
        </w:tc>
      </w:tr>
      <w:tr>
        <w:tc>
          <w:tcPr>
            <w:tcW w:type="dxa" w:w="1728"/>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Llama3.1-8B</w:t>
            </w:r>
          </w:p>
        </w:tc>
        <w:tc>
          <w:tcPr>
            <w:tcW w:type="dxa" w:w="324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T4 GPU, 2 vCPUs, 12 GB RAM</w:t>
            </w:r>
          </w:p>
        </w:tc>
        <w:tc>
          <w:tcPr>
            <w:tcW w:type="dxa" w:w="1368"/>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4-bit</w:t>
            </w:r>
          </w:p>
        </w:tc>
        <w:tc>
          <w:tcPr>
            <w:tcW w:type="dxa" w:w="1944"/>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Approx. 17 h for 10 epochs</w:t>
            </w:r>
          </w:p>
        </w:tc>
        <w:tc>
          <w:tcPr>
            <w:tcW w:type="dxa" w:w="180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Approx. 4 h</w:t>
            </w:r>
          </w:p>
        </w:tc>
      </w:tr>
    </w:tbl>
    <w:p>
      <w:pPr>
        <w:spacing w:before="20" w:after="160"/>
        <w:jc w:val="left"/>
      </w:pPr>
      <w:r>
        <w:rPr>
          <w:b/>
          <w:sz w:val="17"/>
        </w:rPr>
        <w:t xml:space="preserve">Source: </w:t>
      </w:r>
      <w:r>
        <w:rPr>
          <w:i/>
          <w:sz w:val="17"/>
        </w:rPr>
        <w:t>Adapted from Section 6.5 in Meloni et al. (2025).</w:t>
      </w:r>
    </w:p>
    <w:p>
      <w:pPr>
        <w:spacing w:after="120" w:before="0"/>
      </w:pPr>
      <w:r>
        <w:rPr>
          <w:rFonts w:ascii="Calibri" w:hAnsi="Calibri"/>
          <w:b w:val="0"/>
          <w:i w:val="0"/>
          <w:sz w:val="20"/>
        </w:rPr>
        <w:t>The compute information is useful because it shows that useful scientific NL-to-SPARQL experiments can already be run on modest Colab-scale hardware, especially with 4-bit quantization and LoRA-style adaptation. This is a strong practical argument for an open-source thesis pipeline.</w:t>
      </w:r>
    </w:p>
    <w:p>
      <w:pPr>
        <w:pStyle w:val="Heading1"/>
        <w:spacing w:after="120" w:before="0"/>
      </w:pPr>
      <w:r>
        <w:rPr>
          <w:rFonts w:ascii="Calibri" w:hAnsi="Calibri"/>
          <w:b w:val="0"/>
          <w:i w:val="0"/>
        </w:rPr>
        <w:t>Limitations highlighted by the paper</w:t>
      </w:r>
    </w:p>
    <w:p>
      <w:pPr>
        <w:pStyle w:val="ListBullet"/>
        <w:spacing w:after="60"/>
        <w:ind w:left="288"/>
      </w:pPr>
      <w:r>
        <w:rPr>
          <w:rFonts w:ascii="Calibri" w:hAnsi="Calibri"/>
          <w:sz w:val="20"/>
        </w:rPr>
        <w:t>The analysis focuses strongly on SciQA, so not every conclusion transfers automatically to other KGQA benchmarks.</w:t>
      </w:r>
    </w:p>
    <w:p>
      <w:pPr>
        <w:pStyle w:val="ListBullet"/>
        <w:spacing w:after="60"/>
        <w:ind w:left="288"/>
      </w:pPr>
      <w:r>
        <w:rPr>
          <w:rFonts w:ascii="Calibri" w:hAnsi="Calibri"/>
          <w:sz w:val="20"/>
        </w:rPr>
        <w:t>SciQA was largely generated automatically from seed questions, so hidden patterns or biases may exist.</w:t>
      </w:r>
    </w:p>
    <w:p>
      <w:pPr>
        <w:pStyle w:val="ListBullet"/>
        <w:spacing w:after="60"/>
        <w:ind w:left="288"/>
      </w:pPr>
      <w:r>
        <w:rPr>
          <w:rFonts w:ascii="Calibri" w:hAnsi="Calibri"/>
          <w:sz w:val="20"/>
        </w:rPr>
        <w:t>Dataset contamination cannot be ruled out completely, even though the authors consider the risk relatively low.</w:t>
      </w:r>
    </w:p>
    <w:p>
      <w:pPr>
        <w:pStyle w:val="ListBullet"/>
        <w:spacing w:after="60"/>
        <w:ind w:left="288"/>
      </w:pPr>
      <w:r>
        <w:rPr>
          <w:rFonts w:ascii="Calibri" w:hAnsi="Calibri"/>
          <w:sz w:val="20"/>
        </w:rPr>
        <w:t>The study emphasizes literal handling and does not use a separate entity linker for SciQA; other settings may require one.</w:t>
      </w:r>
    </w:p>
    <w:p>
      <w:pPr>
        <w:pStyle w:val="ListBullet"/>
        <w:spacing w:after="60"/>
        <w:ind w:left="288"/>
      </w:pPr>
      <w:r>
        <w:rPr>
          <w:rFonts w:ascii="Calibri" w:hAnsi="Calibri"/>
          <w:sz w:val="20"/>
        </w:rPr>
        <w:t>The authors call for more difficult benchmarks because current results may overstate how solved the general problem really is.</w:t>
      </w:r>
    </w:p>
    <w:p>
      <w:pPr>
        <w:pStyle w:val="Heading1"/>
        <w:spacing w:after="120" w:before="0"/>
      </w:pPr>
      <w:r>
        <w:rPr>
          <w:rFonts w:ascii="Calibri" w:hAnsi="Calibri"/>
          <w:b w:val="0"/>
          <w:i w:val="0"/>
        </w:rPr>
        <w:t>Ready-to-reuse thesis notes</w:t>
      </w:r>
    </w:p>
    <w:p>
      <w:pPr>
        <w:pStyle w:val="Heading2"/>
        <w:spacing w:after="120" w:before="0"/>
      </w:pPr>
      <w:r>
        <w:rPr>
          <w:rFonts w:ascii="Calibri" w:hAnsi="Calibri"/>
          <w:b w:val="0"/>
          <w:i w:val="0"/>
        </w:rPr>
        <w:t>Related work angle</w:t>
      </w:r>
    </w:p>
    <w:p>
      <w:pPr>
        <w:pStyle w:val="ListBullet"/>
        <w:spacing w:after="60"/>
        <w:ind w:left="288"/>
      </w:pPr>
      <w:r>
        <w:rPr>
          <w:rFonts w:ascii="Calibri" w:hAnsi="Calibri"/>
          <w:sz w:val="20"/>
        </w:rPr>
        <w:t>Use this paper as a core reference showing that scientific NL-to-SPARQL is now feasible with both fine-tuning and carefully optimized prompting.</w:t>
      </w:r>
    </w:p>
    <w:p>
      <w:pPr>
        <w:pStyle w:val="ListBullet"/>
        <w:spacing w:after="60"/>
        <w:ind w:left="288"/>
      </w:pPr>
      <w:r>
        <w:rPr>
          <w:rFonts w:ascii="Calibri" w:hAnsi="Calibri"/>
          <w:sz w:val="20"/>
        </w:rPr>
        <w:t>Position it as evidence that open-source models can compete strongly when adapted to the task.</w:t>
      </w:r>
    </w:p>
    <w:p>
      <w:pPr>
        <w:pStyle w:val="ListBullet"/>
        <w:spacing w:after="60"/>
        <w:ind w:left="288"/>
      </w:pPr>
      <w:r>
        <w:rPr>
          <w:rFonts w:ascii="Calibri" w:hAnsi="Calibri"/>
          <w:sz w:val="20"/>
        </w:rPr>
        <w:t>Use the DBLP-QuAD comparison to argue that explicit schema/entity context is a major factor in performance.</w:t>
      </w:r>
    </w:p>
    <w:p>
      <w:pPr>
        <w:pStyle w:val="Heading2"/>
        <w:spacing w:after="120" w:before="0"/>
      </w:pPr>
      <w:r>
        <w:rPr>
          <w:rFonts w:ascii="Calibri" w:hAnsi="Calibri"/>
          <w:b w:val="0"/>
          <w:i w:val="0"/>
        </w:rPr>
        <w:t>Methodology angle</w:t>
      </w:r>
    </w:p>
    <w:p>
      <w:pPr>
        <w:pStyle w:val="ListBullet"/>
        <w:spacing w:after="60"/>
        <w:ind w:left="288"/>
      </w:pPr>
      <w:r>
        <w:rPr>
          <w:rFonts w:ascii="Calibri" w:hAnsi="Calibri"/>
          <w:sz w:val="20"/>
        </w:rPr>
        <w:t>This paper justifies comparing at least fine-tuning and context-based methods in the thesis.</w:t>
      </w:r>
    </w:p>
    <w:p>
      <w:pPr>
        <w:pStyle w:val="ListBullet"/>
        <w:spacing w:after="60"/>
        <w:ind w:left="288"/>
      </w:pPr>
      <w:r>
        <w:rPr>
          <w:rFonts w:ascii="Calibri" w:hAnsi="Calibri"/>
          <w:sz w:val="20"/>
        </w:rPr>
        <w:t>Its error categories can be reused as an analysis framework for thesis evaluation: wrong predicate, semantic error, misspelled entity, wrong entity type, syntax error.</w:t>
      </w:r>
    </w:p>
    <w:p>
      <w:pPr>
        <w:pStyle w:val="ListBullet"/>
        <w:spacing w:after="60"/>
        <w:ind w:left="288"/>
      </w:pPr>
      <w:r>
        <w:rPr>
          <w:rFonts w:ascii="Calibri" w:hAnsi="Calibri"/>
          <w:sz w:val="20"/>
        </w:rPr>
        <w:t>Its transfer-learning section motivates experiments with mixed datasets or staged training, but also warns that ontology mismatch matters.</w:t>
      </w:r>
    </w:p>
    <w:p>
      <w:pPr>
        <w:pStyle w:val="Heading2"/>
        <w:spacing w:after="120" w:before="0"/>
      </w:pPr>
      <w:r>
        <w:rPr>
          <w:rFonts w:ascii="Calibri" w:hAnsi="Calibri"/>
          <w:b w:val="0"/>
          <w:i w:val="0"/>
        </w:rPr>
        <w:t>Discussion angle</w:t>
      </w:r>
    </w:p>
    <w:p>
      <w:pPr>
        <w:pStyle w:val="ListBullet"/>
        <w:spacing w:after="60"/>
        <w:ind w:left="288"/>
      </w:pPr>
      <w:r>
        <w:rPr>
          <w:rFonts w:ascii="Calibri" w:hAnsi="Calibri"/>
          <w:sz w:val="20"/>
        </w:rPr>
        <w:t>High exact match is not enough; execution-based evaluation can show that differently phrased queries still work.</w:t>
      </w:r>
    </w:p>
    <w:p>
      <w:pPr>
        <w:pStyle w:val="ListBullet"/>
        <w:spacing w:after="60"/>
        <w:ind w:left="288"/>
      </w:pPr>
      <w:r>
        <w:rPr>
          <w:rFonts w:ascii="Calibri" w:hAnsi="Calibri"/>
          <w:sz w:val="20"/>
        </w:rPr>
        <w:t>Small models may be surprisingly strong after targeted fine-tuning.</w:t>
      </w:r>
    </w:p>
    <w:p>
      <w:pPr>
        <w:pStyle w:val="ListBullet"/>
        <w:spacing w:after="60"/>
        <w:ind w:left="288"/>
      </w:pPr>
      <w:r>
        <w:rPr>
          <w:rFonts w:ascii="Calibri" w:hAnsi="Calibri"/>
          <w:sz w:val="20"/>
        </w:rPr>
        <w:t>Different models fail differently, so model choice should depend on the intended repair pipeline and error tolerance.</w:t>
      </w:r>
    </w:p>
    <w:p>
      <w:pPr>
        <w:pStyle w:val="Heading1"/>
        <w:spacing w:after="120" w:before="0"/>
      </w:pPr>
      <w:r>
        <w:rPr>
          <w:rFonts w:ascii="Calibri" w:hAnsi="Calibri"/>
          <w:b w:val="0"/>
          <w:i w:val="0"/>
        </w:rPr>
        <w:t>Appendix A - Working-note template interpretation</w:t>
      </w:r>
    </w:p>
    <w:p>
      <w:pPr>
        <w:spacing w:after="120" w:before="0"/>
      </w:pPr>
      <w:r>
        <w:rPr>
          <w:rFonts w:ascii="Calibri" w:hAnsi="Calibri"/>
          <w:b w:val="0"/>
          <w:i/>
          <w:sz w:val="19"/>
        </w:rPr>
        <w:t>The following table comes from the uploaded working-note PDF rather than directly from the ACM paper text. It is useful as a reader-side interpretation of the eight SciQA template IDs, especially when planning dataset analysis or discussing question families in the thesis.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Template</w:t>
            </w:r>
          </w:p>
        </w:tc>
        <w:tc>
          <w:tcPr>
            <w:tcW w:type="dxa" w:w="2160"/>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Interpretive label</w:t>
            </w:r>
          </w:p>
        </w:tc>
        <w:tc>
          <w:tcPr>
            <w:tcW w:type="dxa" w:w="6912"/>
            <w:vAlign w:val="center"/>
            <w:tcMar>
              <w:top w:w="90" w:type="dxa"/>
              <w:start w:w="100" w:type="dxa"/>
              <w:bottom w:w="90" w:type="dxa"/>
              <w:end w:w="100" w:type="dxa"/>
            </w:tcMar>
            <w:shd w:fill="1F4E79"/>
          </w:tcPr>
          <w:p>
            <w:pPr>
              <w:spacing w:after="0" w:before="0"/>
              <w:jc w:val="center"/>
            </w:pPr>
            <w:r/>
            <w:r>
              <w:rPr>
                <w:rFonts w:ascii="Calibri" w:hAnsi="Calibri"/>
                <w:b/>
                <w:color w:val="FFFFFF"/>
                <w:sz w:val="17"/>
              </w:rPr>
              <w:t>Working interpretation</w:t>
            </w:r>
          </w:p>
        </w:tc>
      </w:tr>
      <w:tr>
        <w:tc>
          <w:tcPr>
            <w:tcW w:type="dxa" w:w="1152"/>
            <w:vAlign w:val="center"/>
            <w:tcMar>
              <w:top w:w="80" w:type="dxa"/>
              <w:start w:w="100" w:type="dxa"/>
              <w:bottom w:w="80" w:type="dxa"/>
              <w:end w:w="100" w:type="dxa"/>
            </w:tcMar>
          </w:tcPr>
          <w:p>
            <w:pPr>
              <w:spacing w:before="0" w:after="0" w:line="240" w:lineRule="auto"/>
              <w:jc w:val="left"/>
            </w:pPr>
            <w:r/>
            <w:r>
              <w:rPr>
                <w:rFonts w:ascii="Calibri" w:hAnsi="Calibri"/>
                <w:b/>
                <w:sz w:val="17"/>
              </w:rPr>
              <w:t>T1</w:t>
            </w:r>
          </w:p>
        </w:tc>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val="0"/>
                <w:sz w:val="17"/>
              </w:rPr>
              <w:t>Research problems</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b w:val="0"/>
                <w:sz w:val="17"/>
              </w:rPr>
              <w:t>Questions about research problems addressed in papers.</w:t>
            </w:r>
          </w:p>
        </w:tc>
      </w:tr>
      <w:tr>
        <w:tc>
          <w:tcPr>
            <w:tcW w:type="dxa" w:w="1152"/>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T2</w:t>
            </w:r>
          </w:p>
        </w:tc>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Research contributions</w:t>
            </w:r>
          </w:p>
        </w:tc>
        <w:tc>
          <w:tcPr>
            <w:tcW w:type="dxa" w:w="691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Questions about specific contributions or results of a paper.</w:t>
            </w:r>
          </w:p>
        </w:tc>
      </w:tr>
      <w:tr>
        <w:tc>
          <w:tcPr>
            <w:tcW w:type="dxa" w:w="1152"/>
            <w:vAlign w:val="center"/>
            <w:tcMar>
              <w:top w:w="80" w:type="dxa"/>
              <w:start w:w="100" w:type="dxa"/>
              <w:bottom w:w="80" w:type="dxa"/>
              <w:end w:w="100" w:type="dxa"/>
            </w:tcMar>
          </w:tcPr>
          <w:p>
            <w:pPr>
              <w:spacing w:before="0" w:after="0" w:line="240" w:lineRule="auto"/>
              <w:jc w:val="left"/>
            </w:pPr>
            <w:r/>
            <w:r>
              <w:rPr>
                <w:rFonts w:ascii="Calibri" w:hAnsi="Calibri"/>
                <w:b/>
                <w:sz w:val="17"/>
              </w:rPr>
              <w:t>T3</w:t>
            </w:r>
          </w:p>
        </w:tc>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val="0"/>
                <w:sz w:val="17"/>
              </w:rPr>
              <w:t>Methodologies</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b w:val="0"/>
                <w:sz w:val="17"/>
              </w:rPr>
              <w:t>Questions about methods or algorithms used in research.</w:t>
            </w:r>
          </w:p>
        </w:tc>
      </w:tr>
      <w:tr>
        <w:tc>
          <w:tcPr>
            <w:tcW w:type="dxa" w:w="1152"/>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T4</w:t>
            </w:r>
          </w:p>
        </w:tc>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Benchmarks / datasets</w:t>
            </w:r>
          </w:p>
        </w:tc>
        <w:tc>
          <w:tcPr>
            <w:tcW w:type="dxa" w:w="691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Questions about datasets or test environments used in studies.</w:t>
            </w:r>
          </w:p>
        </w:tc>
      </w:tr>
      <w:tr>
        <w:tc>
          <w:tcPr>
            <w:tcW w:type="dxa" w:w="1152"/>
            <w:vAlign w:val="center"/>
            <w:tcMar>
              <w:top w:w="80" w:type="dxa"/>
              <w:start w:w="100" w:type="dxa"/>
              <w:bottom w:w="80" w:type="dxa"/>
              <w:end w:w="100" w:type="dxa"/>
            </w:tcMar>
          </w:tcPr>
          <w:p>
            <w:pPr>
              <w:spacing w:before="0" w:after="0" w:line="240" w:lineRule="auto"/>
              <w:jc w:val="left"/>
            </w:pPr>
            <w:r/>
            <w:r>
              <w:rPr>
                <w:rFonts w:ascii="Calibri" w:hAnsi="Calibri"/>
                <w:b/>
                <w:sz w:val="17"/>
              </w:rPr>
              <w:t>T5</w:t>
            </w:r>
          </w:p>
        </w:tc>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val="0"/>
                <w:sz w:val="17"/>
              </w:rPr>
              <w:t>Metrics</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b w:val="0"/>
                <w:sz w:val="17"/>
              </w:rPr>
              <w:t>Questions about evaluation metrics such as accuracy or F1.</w:t>
            </w:r>
          </w:p>
        </w:tc>
      </w:tr>
      <w:tr>
        <w:tc>
          <w:tcPr>
            <w:tcW w:type="dxa" w:w="1152"/>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T6</w:t>
            </w:r>
          </w:p>
        </w:tc>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Resources</w:t>
            </w:r>
          </w:p>
        </w:tc>
        <w:tc>
          <w:tcPr>
            <w:tcW w:type="dxa" w:w="691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Questions about tools, software, or hardware resources.</w:t>
            </w:r>
          </w:p>
        </w:tc>
      </w:tr>
      <w:tr>
        <w:tc>
          <w:tcPr>
            <w:tcW w:type="dxa" w:w="1152"/>
            <w:vAlign w:val="center"/>
            <w:tcMar>
              <w:top w:w="80" w:type="dxa"/>
              <w:start w:w="100" w:type="dxa"/>
              <w:bottom w:w="80" w:type="dxa"/>
              <w:end w:w="100" w:type="dxa"/>
            </w:tcMar>
          </w:tcPr>
          <w:p>
            <w:pPr>
              <w:spacing w:before="0" w:after="0" w:line="240" w:lineRule="auto"/>
              <w:jc w:val="left"/>
            </w:pPr>
            <w:r/>
            <w:r>
              <w:rPr>
                <w:rFonts w:ascii="Calibri" w:hAnsi="Calibri"/>
                <w:b/>
                <w:sz w:val="17"/>
              </w:rPr>
              <w:t>T7</w:t>
            </w:r>
          </w:p>
        </w:tc>
        <w:tc>
          <w:tcPr>
            <w:tcW w:type="dxa" w:w="2160"/>
            <w:vAlign w:val="center"/>
            <w:tcMar>
              <w:top w:w="80" w:type="dxa"/>
              <w:start w:w="100" w:type="dxa"/>
              <w:bottom w:w="80" w:type="dxa"/>
              <w:end w:w="100" w:type="dxa"/>
            </w:tcMar>
          </w:tcPr>
          <w:p>
            <w:pPr>
              <w:spacing w:before="0" w:after="0" w:line="240" w:lineRule="auto"/>
              <w:jc w:val="left"/>
            </w:pPr>
            <w:r/>
            <w:r>
              <w:rPr>
                <w:rFonts w:ascii="Calibri" w:hAnsi="Calibri"/>
                <w:b w:val="0"/>
                <w:sz w:val="17"/>
              </w:rPr>
              <w:t>Comparisons</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b w:val="0"/>
                <w:sz w:val="17"/>
              </w:rPr>
              <w:t>Questions comparing information across multiple contributions; the most frequent template in the note.</w:t>
            </w:r>
          </w:p>
        </w:tc>
      </w:tr>
      <w:tr>
        <w:tc>
          <w:tcPr>
            <w:tcW w:type="dxa" w:w="1152"/>
            <w:vAlign w:val="center"/>
            <w:tcMar>
              <w:top w:w="80" w:type="dxa"/>
              <w:start w:w="100" w:type="dxa"/>
              <w:bottom w:w="80" w:type="dxa"/>
              <w:end w:w="100" w:type="dxa"/>
            </w:tcMar>
            <w:shd w:fill="EEF3F8"/>
          </w:tcPr>
          <w:p>
            <w:pPr>
              <w:spacing w:before="0" w:after="0" w:line="240" w:lineRule="auto"/>
              <w:jc w:val="left"/>
            </w:pPr>
            <w:r/>
            <w:r>
              <w:rPr>
                <w:rFonts w:ascii="Calibri" w:hAnsi="Calibri"/>
                <w:b/>
                <w:sz w:val="17"/>
              </w:rPr>
              <w:t>T8</w:t>
            </w:r>
          </w:p>
        </w:tc>
        <w:tc>
          <w:tcPr>
            <w:tcW w:type="dxa" w:w="2160"/>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Aggregation / statistical</w:t>
            </w:r>
          </w:p>
        </w:tc>
        <w:tc>
          <w:tcPr>
            <w:tcW w:type="dxa" w:w="6912"/>
            <w:vAlign w:val="center"/>
            <w:tcMar>
              <w:top w:w="80" w:type="dxa"/>
              <w:start w:w="100" w:type="dxa"/>
              <w:bottom w:w="80" w:type="dxa"/>
              <w:end w:w="100" w:type="dxa"/>
            </w:tcMar>
            <w:shd w:fill="EEF3F8"/>
          </w:tcPr>
          <w:p>
            <w:pPr>
              <w:spacing w:before="0" w:after="0" w:line="240" w:lineRule="auto"/>
              <w:jc w:val="left"/>
            </w:pPr>
            <w:r/>
            <w:r>
              <w:rPr>
                <w:rFonts w:ascii="Calibri" w:hAnsi="Calibri"/>
                <w:b w:val="0"/>
                <w:sz w:val="17"/>
              </w:rPr>
              <w:t>Questions requiring counting, aggregation, or statistical summaries.</w:t>
            </w:r>
          </w:p>
        </w:tc>
      </w:tr>
    </w:tbl>
    <w:p>
      <w:pPr>
        <w:spacing w:before="20" w:after="160"/>
        <w:jc w:val="left"/>
      </w:pPr>
      <w:r>
        <w:rPr>
          <w:b/>
          <w:sz w:val="17"/>
        </w:rPr>
        <w:t xml:space="preserve">Source: </w:t>
      </w:r>
      <w:r>
        <w:rPr>
          <w:i/>
          <w:sz w:val="17"/>
        </w:rPr>
        <w:t>Adapted from the uploaded working-note PDF ('Unbenanntes Dokument.pdf').</w:t>
      </w:r>
    </w:p>
    <w:p>
      <w:pPr>
        <w:pStyle w:val="Heading1"/>
        <w:spacing w:after="120" w:before="0"/>
      </w:pPr>
      <w:r>
        <w:rPr>
          <w:rFonts w:ascii="Calibri" w:hAnsi="Calibri"/>
          <w:b w:val="0"/>
          <w:i w:val="0"/>
        </w:rPr>
        <w:t>Bottom line</w:t>
      </w:r>
    </w:p>
    <w:p>
      <w:pPr>
        <w:spacing w:after="120" w:before="0"/>
      </w:pPr>
      <w:r>
        <w:rPr>
          <w:rFonts w:ascii="Calibri" w:hAnsi="Calibri"/>
          <w:b w:val="0"/>
          <w:i w:val="0"/>
          <w:sz w:val="20"/>
        </w:rPr>
        <w:t>Meloni et al. (2025) is one of the most important direct references for this thesis topic. It shows that scientific text-to-SPARQL over knowledge graphs can reach very high benchmark performance, but that the decisive levers are task adaptation, schema-aware context, and careful evaluation beyond exact match. For a thesis on improving open-source LLMs for ORKG-style SPARQL generation, this paper supports all three major directions: fine-tuning, context engineering, and transfer-oriented data strategies.</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2F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